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7FCFF"/>
        <w:kinsoku/>
        <w:wordWrap/>
        <w:overflowPunct/>
        <w:topLinePunct w:val="0"/>
        <w:autoSpaceDE/>
        <w:autoSpaceDN/>
        <w:bidi w:val="0"/>
        <w:adjustRightInd/>
        <w:snapToGrid/>
        <w:spacing w:before="180" w:after="180" w:line="500" w:lineRule="exact"/>
        <w:jc w:val="both"/>
        <w:textAlignment w:val="auto"/>
        <w:outlineLvl w:val="2"/>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80" w:lineRule="atLeast"/>
        <w:ind w:left="0" w:right="0" w:firstLine="0"/>
        <w:jc w:val="center"/>
        <w:rPr>
          <w:rFonts w:hint="eastAsia" w:ascii="宋体" w:hAnsi="宋体" w:eastAsia="宋体" w:cs="宋体"/>
          <w:b/>
          <w:bCs/>
          <w:i w:val="0"/>
          <w:caps w:val="0"/>
          <w:color w:val="000000"/>
          <w:spacing w:val="0"/>
          <w:sz w:val="44"/>
          <w:szCs w:val="44"/>
        </w:rPr>
      </w:pPr>
      <w:r>
        <w:rPr>
          <w:rFonts w:hint="eastAsia" w:ascii="宋体" w:hAnsi="宋体" w:eastAsia="宋体" w:cs="宋体"/>
          <w:b/>
          <w:bCs/>
          <w:i w:val="0"/>
          <w:caps w:val="0"/>
          <w:color w:val="000000"/>
          <w:spacing w:val="0"/>
          <w:sz w:val="44"/>
          <w:szCs w:val="44"/>
          <w:shd w:val="clear" w:color="auto" w:fill="FFFFFF"/>
        </w:rPr>
        <w:t>关于调整山东省高等教育自学考试专业名称和代码的通知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楷体" w:hAnsi="楷体" w:eastAsia="楷体" w:cs="楷体"/>
          <w:b w:val="0"/>
          <w:i w:val="0"/>
          <w:caps w:val="0"/>
          <w:color w:val="000000"/>
          <w:spacing w:val="0"/>
          <w:sz w:val="32"/>
          <w:szCs w:val="32"/>
        </w:rPr>
      </w:pPr>
      <w:r>
        <w:rPr>
          <w:rFonts w:hint="eastAsia" w:ascii="楷体" w:hAnsi="楷体" w:eastAsia="楷体" w:cs="楷体"/>
          <w:b w:val="0"/>
          <w:i w:val="0"/>
          <w:caps w:val="0"/>
          <w:color w:val="000000"/>
          <w:spacing w:val="0"/>
          <w:sz w:val="32"/>
          <w:szCs w:val="32"/>
          <w:shd w:val="clear" w:color="auto" w:fill="FFFFFF"/>
        </w:rPr>
        <w:t>鲁招考〔2018〕78号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rPr>
          <w:rFonts w:hint="eastAsia" w:ascii="仿宋" w:hAnsi="仿宋" w:eastAsia="仿宋" w:cs="仿宋"/>
          <w:b w:val="0"/>
          <w:i w:val="0"/>
          <w:caps w:val="0"/>
          <w:color w:val="336699"/>
          <w:spacing w:val="0"/>
          <w:sz w:val="32"/>
          <w:szCs w:val="32"/>
        </w:rPr>
      </w:pPr>
      <w:r>
        <w:rPr>
          <w:rFonts w:hint="eastAsia" w:ascii="仿宋" w:hAnsi="仿宋" w:eastAsia="仿宋" w:cs="仿宋"/>
          <w:b w:val="0"/>
          <w:i w:val="0"/>
          <w:caps w:val="0"/>
          <w:color w:val="000000"/>
          <w:spacing w:val="0"/>
          <w:sz w:val="32"/>
          <w:szCs w:val="32"/>
          <w:shd w:val="clear" w:color="auto" w:fill="FFFFFF"/>
        </w:rPr>
        <w:t>各市及胜利石油管理局招生（考试）办公室（院、中心）、自学考试办公室、各专业主考院校：</w:t>
      </w:r>
      <w:r>
        <w:rPr>
          <w:rFonts w:hint="eastAsia" w:ascii="仿宋" w:hAnsi="仿宋" w:eastAsia="仿宋" w:cs="仿宋"/>
          <w:b w:val="0"/>
          <w:i w:val="0"/>
          <w:caps w:val="0"/>
          <w:color w:val="000000"/>
          <w:spacing w:val="0"/>
          <w:sz w:val="32"/>
          <w:szCs w:val="32"/>
          <w:shd w:val="clear" w:color="auto" w:fill="FFFFFF"/>
        </w:rPr>
        <w:br w:type="textWrapping"/>
      </w:r>
      <w:r>
        <w:rPr>
          <w:rFonts w:hint="eastAsia" w:ascii="仿宋" w:hAnsi="仿宋" w:eastAsia="仿宋" w:cs="仿宋"/>
          <w:b w:val="0"/>
          <w:i w:val="0"/>
          <w:caps w:val="0"/>
          <w:color w:val="000000"/>
          <w:spacing w:val="0"/>
          <w:sz w:val="32"/>
          <w:szCs w:val="32"/>
          <w:shd w:val="clear" w:color="auto" w:fill="FFFFFF"/>
        </w:rPr>
        <w:t>　　为贯彻落实《教育部办公厅关于印发&lt;高等教育自学考试专业设置实施细则&gt;和&lt;高等教育自学考试开考专业清单&gt;的通知》（教职成厅[2018]1号）精神，规范自学考试专业设置，根据我省实际情况对高等教育自学考试开考专业进行相应调整，现将有关事项通知如下：</w:t>
      </w:r>
      <w:r>
        <w:rPr>
          <w:rFonts w:hint="eastAsia" w:ascii="仿宋" w:hAnsi="仿宋" w:eastAsia="仿宋" w:cs="仿宋"/>
          <w:b w:val="0"/>
          <w:i w:val="0"/>
          <w:caps w:val="0"/>
          <w:color w:val="000000"/>
          <w:spacing w:val="0"/>
          <w:sz w:val="32"/>
          <w:szCs w:val="32"/>
          <w:shd w:val="clear" w:color="auto" w:fill="FFFFFF"/>
        </w:rPr>
        <w:br w:type="textWrapping"/>
      </w:r>
      <w:r>
        <w:rPr>
          <w:rFonts w:hint="eastAsia" w:ascii="仿宋" w:hAnsi="仿宋" w:eastAsia="仿宋" w:cs="仿宋"/>
          <w:b w:val="0"/>
          <w:i w:val="0"/>
          <w:caps w:val="0"/>
          <w:color w:val="000000"/>
          <w:spacing w:val="0"/>
          <w:sz w:val="32"/>
          <w:szCs w:val="32"/>
          <w:shd w:val="clear" w:color="auto" w:fill="FFFFFF"/>
        </w:rPr>
        <w:t>　　一、为保证专业调整工作的平稳过渡，本次专业调整仅限专业代码和专业名称调整，专业计划和主考院校均不做调整，具体调整内容详见附件1、附件2。</w:t>
      </w:r>
      <w:r>
        <w:rPr>
          <w:rFonts w:hint="eastAsia" w:ascii="仿宋" w:hAnsi="仿宋" w:eastAsia="仿宋" w:cs="仿宋"/>
          <w:b w:val="0"/>
          <w:i w:val="0"/>
          <w:caps w:val="0"/>
          <w:color w:val="000000"/>
          <w:spacing w:val="0"/>
          <w:sz w:val="32"/>
          <w:szCs w:val="32"/>
          <w:shd w:val="clear" w:color="auto" w:fill="FFFFFF"/>
        </w:rPr>
        <w:br w:type="textWrapping"/>
      </w:r>
      <w:r>
        <w:rPr>
          <w:rFonts w:hint="eastAsia" w:ascii="仿宋" w:hAnsi="仿宋" w:eastAsia="仿宋" w:cs="仿宋"/>
          <w:b w:val="0"/>
          <w:i w:val="0"/>
          <w:caps w:val="0"/>
          <w:color w:val="000000"/>
          <w:spacing w:val="0"/>
          <w:sz w:val="32"/>
          <w:szCs w:val="32"/>
          <w:shd w:val="clear" w:color="auto" w:fill="FFFFFF"/>
        </w:rPr>
        <w:t>　　二、自2018年12月1日起，原专业名称和专业代码不再接收新考生报考，新、老考生均须按照调整后的专业名称和专业代码办理报考手续，按照原专业计划选择报考课程。报考合并专业的新考生可自行选择合并前的专业计划报考。待全国自考专业规范公布后，再进行相关专业计划的调整和课程对顶。</w:t>
      </w:r>
      <w:r>
        <w:rPr>
          <w:rFonts w:hint="eastAsia" w:ascii="仿宋" w:hAnsi="仿宋" w:eastAsia="仿宋" w:cs="仿宋"/>
          <w:b w:val="0"/>
          <w:i w:val="0"/>
          <w:caps w:val="0"/>
          <w:color w:val="000000"/>
          <w:spacing w:val="0"/>
          <w:sz w:val="32"/>
          <w:szCs w:val="32"/>
          <w:shd w:val="clear" w:color="auto" w:fill="FFFFFF"/>
        </w:rPr>
        <w:br w:type="textWrapping"/>
      </w:r>
      <w:r>
        <w:rPr>
          <w:rFonts w:hint="eastAsia" w:ascii="仿宋" w:hAnsi="仿宋" w:eastAsia="仿宋" w:cs="仿宋"/>
          <w:b w:val="0"/>
          <w:i w:val="0"/>
          <w:caps w:val="0"/>
          <w:color w:val="000000"/>
          <w:spacing w:val="0"/>
          <w:sz w:val="32"/>
          <w:szCs w:val="32"/>
          <w:shd w:val="clear" w:color="auto" w:fill="FFFFFF"/>
        </w:rPr>
        <w:t>　　三、2019年1月1日以后申请毕业的考生，全省统一按照调整后的专业名称和专业代码办理毕业证书。2019年1月1日至2021年6月30日专业调整过渡期间，如考生个人申请，也可以按原专业名称和专业代码申请办理毕业证。2021年7月1日起停止办理原专业名称和专业代码毕业证书。</w:t>
      </w:r>
      <w:r>
        <w:rPr>
          <w:rFonts w:hint="eastAsia" w:ascii="仿宋" w:hAnsi="仿宋" w:eastAsia="仿宋" w:cs="仿宋"/>
          <w:b w:val="0"/>
          <w:i w:val="0"/>
          <w:caps w:val="0"/>
          <w:color w:val="000000"/>
          <w:spacing w:val="0"/>
          <w:sz w:val="32"/>
          <w:szCs w:val="32"/>
          <w:shd w:val="clear" w:color="auto" w:fill="FFFFFF"/>
        </w:rPr>
        <w:br w:type="textWrapping"/>
      </w:r>
      <w:r>
        <w:rPr>
          <w:rFonts w:hint="eastAsia" w:ascii="仿宋" w:hAnsi="仿宋" w:eastAsia="仿宋" w:cs="仿宋"/>
          <w:b w:val="0"/>
          <w:i w:val="0"/>
          <w:caps w:val="0"/>
          <w:color w:val="000000"/>
          <w:spacing w:val="0"/>
          <w:sz w:val="32"/>
          <w:szCs w:val="32"/>
          <w:shd w:val="clear" w:color="auto" w:fill="FFFFFF"/>
        </w:rPr>
        <w:t>　　四、为实现高等教育自学考试开考专业与国家继续教育专业目录协调统一，有利于考生今后的升学就业，建议考生按调整后的专业名称和专业代码申请办理毕业证书。</w:t>
      </w:r>
      <w:r>
        <w:rPr>
          <w:rFonts w:hint="eastAsia" w:ascii="仿宋" w:hAnsi="仿宋" w:eastAsia="仿宋" w:cs="仿宋"/>
          <w:b w:val="0"/>
          <w:i w:val="0"/>
          <w:caps w:val="0"/>
          <w:color w:val="000000"/>
          <w:spacing w:val="0"/>
          <w:sz w:val="32"/>
          <w:szCs w:val="32"/>
          <w:shd w:val="clear" w:color="auto" w:fill="FFFFFF"/>
        </w:rPr>
        <w:br w:type="textWrapping"/>
      </w:r>
      <w:r>
        <w:rPr>
          <w:rFonts w:hint="eastAsia" w:ascii="仿宋" w:hAnsi="仿宋" w:eastAsia="仿宋" w:cs="仿宋"/>
          <w:b w:val="0"/>
          <w:i w:val="0"/>
          <w:caps w:val="0"/>
          <w:color w:val="000000"/>
          <w:spacing w:val="0"/>
          <w:sz w:val="32"/>
          <w:szCs w:val="32"/>
          <w:shd w:val="clear" w:color="auto" w:fill="FFFFFF"/>
        </w:rPr>
        <w:t>　　请各单位收到本通知后，及时向县（市、区）考试机构、助学院校、考生广泛宣传，加强业务沟通、协调，妥善安排此次专业调整事宜，维护考生合法权益，保障本次专业调整的顺利实施。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rPr>
          <w:rFonts w:hint="eastAsia" w:ascii="仿宋" w:hAnsi="仿宋" w:eastAsia="仿宋" w:cs="仿宋"/>
          <w:b w:val="0"/>
          <w:i w:val="0"/>
          <w:caps w:val="0"/>
          <w:color w:val="000000"/>
          <w:spacing w:val="0"/>
          <w:sz w:val="32"/>
          <w:szCs w:val="32"/>
          <w:shd w:val="clear" w:color="auto" w:fill="FFFFFF"/>
        </w:rPr>
      </w:pPr>
      <w:r>
        <w:rPr>
          <w:rFonts w:hint="eastAsia" w:ascii="仿宋" w:hAnsi="仿宋" w:eastAsia="仿宋" w:cs="仿宋"/>
          <w:b w:val="0"/>
          <w:i w:val="0"/>
          <w:caps w:val="0"/>
          <w:color w:val="000000"/>
          <w:spacing w:val="0"/>
          <w:sz w:val="32"/>
          <w:szCs w:val="32"/>
          <w:shd w:val="clear" w:color="auto" w:fill="FFFFFF"/>
        </w:rPr>
        <w:t>　附件：</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rPr>
          <w:rFonts w:hint="eastAsia" w:ascii="仿宋" w:hAnsi="仿宋" w:eastAsia="仿宋" w:cs="仿宋"/>
          <w:b w:val="0"/>
          <w:i w:val="0"/>
          <w:caps w:val="0"/>
          <w:color w:val="000000"/>
          <w:spacing w:val="0"/>
          <w:sz w:val="32"/>
          <w:szCs w:val="32"/>
          <w:shd w:val="clear" w:color="auto" w:fill="FFFFFF"/>
          <w:lang w:val="en-US" w:eastAsia="zh-CN"/>
        </w:rPr>
      </w:pPr>
      <w:r>
        <w:rPr>
          <w:rFonts w:hint="eastAsia" w:ascii="仿宋" w:hAnsi="仿宋" w:eastAsia="仿宋" w:cs="仿宋"/>
          <w:b w:val="0"/>
          <w:i w:val="0"/>
          <w:caps w:val="0"/>
          <w:color w:val="000000"/>
          <w:spacing w:val="0"/>
          <w:sz w:val="32"/>
          <w:szCs w:val="32"/>
          <w:shd w:val="clear" w:color="auto" w:fill="FFFFFF"/>
          <w:lang w:val="en-US" w:eastAsia="zh-CN"/>
        </w:rPr>
        <w:t>山东省高等教育自学考试专业调整表（专科）</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u w:val="none"/>
          <w:shd w:val="clear" w:color="auto" w:fill="FFFFFF"/>
        </w:rPr>
        <w:t>山东省高等教育自学考试专业调整表（</w:t>
      </w:r>
      <w:r>
        <w:rPr>
          <w:rFonts w:hint="eastAsia" w:ascii="仿宋" w:hAnsi="仿宋" w:eastAsia="仿宋" w:cs="仿宋"/>
          <w:b w:val="0"/>
          <w:i w:val="0"/>
          <w:caps w:val="0"/>
          <w:color w:val="000000"/>
          <w:spacing w:val="0"/>
          <w:sz w:val="32"/>
          <w:szCs w:val="32"/>
          <w:u w:val="none"/>
          <w:shd w:val="clear" w:color="auto" w:fill="FFFFFF"/>
          <w:lang w:eastAsia="zh-CN"/>
        </w:rPr>
        <w:t>本</w:t>
      </w:r>
      <w:r>
        <w:rPr>
          <w:rFonts w:hint="eastAsia" w:ascii="仿宋" w:hAnsi="仿宋" w:eastAsia="仿宋" w:cs="仿宋"/>
          <w:b w:val="0"/>
          <w:i w:val="0"/>
          <w:caps w:val="0"/>
          <w:color w:val="000000"/>
          <w:spacing w:val="0"/>
          <w:sz w:val="32"/>
          <w:szCs w:val="32"/>
          <w:u w:val="none"/>
          <w:shd w:val="clear" w:color="auto" w:fill="FFFFFF"/>
        </w:rPr>
        <w:t>科）</w:t>
      </w:r>
      <w:r>
        <w:rPr>
          <w:rFonts w:hint="eastAsia" w:ascii="仿宋" w:hAnsi="仿宋" w:eastAsia="仿宋" w:cs="仿宋"/>
          <w:b w:val="0"/>
          <w:i w:val="0"/>
          <w:caps w:val="0"/>
          <w:color w:val="000000"/>
          <w:spacing w:val="0"/>
          <w:sz w:val="32"/>
          <w:szCs w:val="32"/>
          <w:u w:val="none"/>
          <w:shd w:val="clear" w:color="auto" w:fill="FFFFFF"/>
        </w:rPr>
        <w:fldChar w:fldCharType="begin"/>
      </w:r>
      <w:r>
        <w:rPr>
          <w:rFonts w:hint="eastAsia" w:ascii="仿宋" w:hAnsi="仿宋" w:eastAsia="仿宋" w:cs="仿宋"/>
          <w:b w:val="0"/>
          <w:i w:val="0"/>
          <w:caps w:val="0"/>
          <w:color w:val="000000"/>
          <w:spacing w:val="0"/>
          <w:sz w:val="32"/>
          <w:szCs w:val="32"/>
          <w:u w:val="none"/>
          <w:shd w:val="clear" w:color="auto" w:fill="FFFFFF"/>
        </w:rPr>
        <w:instrText xml:space="preserve"> HYPERLINK "http://www.sdzs.gov.cn/zxks/message/2018/727/184c9b48b94f141e8afac2668713f442a.docx" \t "http://www.sdzk.cn/_blank" </w:instrText>
      </w:r>
      <w:r>
        <w:rPr>
          <w:rFonts w:hint="eastAsia" w:ascii="仿宋" w:hAnsi="仿宋" w:eastAsia="仿宋" w:cs="仿宋"/>
          <w:b w:val="0"/>
          <w:i w:val="0"/>
          <w:caps w:val="0"/>
          <w:color w:val="000000"/>
          <w:spacing w:val="0"/>
          <w:sz w:val="32"/>
          <w:szCs w:val="32"/>
          <w:u w:val="none"/>
          <w:shd w:val="clear" w:color="auto" w:fill="FFFFFF"/>
        </w:rPr>
        <w:fldChar w:fldCharType="separate"/>
      </w:r>
      <w:r>
        <w:rPr>
          <w:rFonts w:hint="eastAsia" w:ascii="仿宋" w:hAnsi="仿宋" w:eastAsia="仿宋" w:cs="仿宋"/>
          <w:b w:val="0"/>
          <w:i w:val="0"/>
          <w:caps w:val="0"/>
          <w:color w:val="000000"/>
          <w:spacing w:val="0"/>
          <w:sz w:val="32"/>
          <w:szCs w:val="32"/>
          <w:u w:val="none"/>
          <w:shd w:val="clear" w:color="auto"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rPr>
          <w:rFonts w:hint="eastAsia" w:ascii="仿宋" w:hAnsi="仿宋" w:eastAsia="仿宋" w:cs="仿宋"/>
          <w:b w:val="0"/>
          <w:i w:val="0"/>
          <w:caps w:val="0"/>
          <w:color w:val="000000"/>
          <w:spacing w:val="0"/>
          <w:sz w:val="32"/>
          <w:szCs w:val="32"/>
          <w:shd w:val="clear" w:color="auto" w:fill="FFFFFF"/>
        </w:rPr>
      </w:pPr>
      <w:r>
        <w:rPr>
          <w:rFonts w:hint="eastAsia" w:ascii="仿宋" w:hAnsi="仿宋" w:eastAsia="仿宋" w:cs="仿宋"/>
          <w:b w:val="0"/>
          <w:i w:val="0"/>
          <w:caps w:val="0"/>
          <w:color w:val="000000"/>
          <w:spacing w:val="0"/>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3840" w:firstLineChars="1200"/>
        <w:rPr>
          <w:rFonts w:hint="eastAsia" w:ascii="仿宋" w:hAnsi="仿宋" w:eastAsia="仿宋" w:cs="仿宋"/>
          <w:b w:val="0"/>
          <w:i w:val="0"/>
          <w:caps w:val="0"/>
          <w:color w:val="000000"/>
          <w:spacing w:val="0"/>
          <w:sz w:val="32"/>
          <w:szCs w:val="32"/>
          <w:shd w:val="clear" w:color="auto" w:fill="FFFFFF"/>
        </w:rPr>
      </w:pPr>
      <w:r>
        <w:rPr>
          <w:rFonts w:hint="eastAsia" w:ascii="仿宋" w:hAnsi="仿宋" w:eastAsia="仿宋" w:cs="仿宋"/>
          <w:b w:val="0"/>
          <w:i w:val="0"/>
          <w:caps w:val="0"/>
          <w:color w:val="000000"/>
          <w:spacing w:val="0"/>
          <w:sz w:val="32"/>
          <w:szCs w:val="32"/>
          <w:shd w:val="clear" w:color="auto" w:fill="FFFFFF"/>
        </w:rPr>
        <w:t>　山东省教育招生考试院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0" w:firstLineChars="1500"/>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color="auto" w:fill="FFFFFF"/>
        </w:rPr>
        <w:t>2018年7月22日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spacing w:line="460" w:lineRule="exact"/>
        <w:jc w:val="left"/>
        <w:rPr>
          <w:rFonts w:ascii="黑体" w:hAnsi="黑体" w:eastAsia="黑体"/>
          <w:sz w:val="28"/>
          <w:szCs w:val="28"/>
        </w:rPr>
      </w:pPr>
      <w:r>
        <w:rPr>
          <w:rFonts w:hint="eastAsia" w:ascii="黑体" w:hAnsi="黑体" w:eastAsia="黑体" w:cs="仿宋"/>
          <w:sz w:val="32"/>
          <w:szCs w:val="32"/>
        </w:rPr>
        <w:t>附件1</w:t>
      </w:r>
    </w:p>
    <w:p>
      <w:pPr>
        <w:spacing w:afterLines="100" w:line="640" w:lineRule="exact"/>
        <w:jc w:val="center"/>
        <w:rPr>
          <w:rFonts w:hint="eastAsia" w:ascii="宋体" w:hAnsi="宋体" w:eastAsia="宋体" w:cs="宋体"/>
          <w:b/>
          <w:bCs/>
          <w:spacing w:val="-20"/>
          <w:sz w:val="44"/>
          <w:szCs w:val="44"/>
          <w:shd w:val="clear" w:color="auto" w:fill="auto"/>
        </w:rPr>
      </w:pPr>
      <w:r>
        <w:rPr>
          <w:rFonts w:hint="eastAsia" w:ascii="宋体" w:hAnsi="宋体" w:eastAsia="宋体" w:cs="宋体"/>
          <w:b/>
          <w:bCs/>
          <w:color w:val="000000"/>
          <w:spacing w:val="-20"/>
          <w:kern w:val="0"/>
          <w:sz w:val="44"/>
          <w:szCs w:val="44"/>
          <w:shd w:val="clear" w:color="auto" w:fill="auto"/>
        </w:rPr>
        <w:t>山东省高等教育自学考试专业调整表（专科）</w:t>
      </w:r>
    </w:p>
    <w:tbl>
      <w:tblPr>
        <w:tblStyle w:val="4"/>
        <w:tblW w:w="859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0"/>
        <w:gridCol w:w="1001"/>
        <w:gridCol w:w="2055"/>
        <w:gridCol w:w="1125"/>
        <w:gridCol w:w="214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tblHeader/>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序号</w:t>
            </w:r>
          </w:p>
        </w:tc>
        <w:tc>
          <w:tcPr>
            <w:tcW w:w="1001" w:type="dxa"/>
            <w:noWrap w:val="0"/>
            <w:vAlign w:val="center"/>
          </w:tcPr>
          <w:p>
            <w:pPr>
              <w:widowControl/>
              <w:spacing w:line="240" w:lineRule="exact"/>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调整后专业代码</w:t>
            </w:r>
          </w:p>
        </w:tc>
        <w:tc>
          <w:tcPr>
            <w:tcW w:w="2055"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调整后专业名称</w:t>
            </w:r>
          </w:p>
        </w:tc>
        <w:tc>
          <w:tcPr>
            <w:tcW w:w="1125" w:type="dxa"/>
            <w:noWrap w:val="0"/>
            <w:vAlign w:val="center"/>
          </w:tcPr>
          <w:p>
            <w:pPr>
              <w:widowControl/>
              <w:spacing w:line="240" w:lineRule="exact"/>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原开考专业代码</w:t>
            </w:r>
          </w:p>
        </w:tc>
        <w:tc>
          <w:tcPr>
            <w:tcW w:w="2145"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原开考专业名称</w:t>
            </w:r>
          </w:p>
        </w:tc>
        <w:tc>
          <w:tcPr>
            <w:tcW w:w="1695"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主考院校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1</w:t>
            </w:r>
          </w:p>
        </w:tc>
        <w:tc>
          <w:tcPr>
            <w:tcW w:w="1001" w:type="dxa"/>
            <w:noWrap w:val="0"/>
            <w:vAlign w:val="center"/>
          </w:tcPr>
          <w:p>
            <w:pPr>
              <w:widowControl/>
              <w:jc w:val="center"/>
              <w:rPr>
                <w:rFonts w:ascii="仿宋_GB2312" w:hAnsi="等线" w:eastAsia="仿宋_GB2312"/>
                <w:color w:val="000000"/>
                <w:kern w:val="0"/>
                <w:szCs w:val="21"/>
              </w:rPr>
            </w:pPr>
            <w:r>
              <w:rPr>
                <w:rFonts w:hint="eastAsia" w:ascii="仿宋_GB2312" w:hAnsi="等线" w:eastAsia="仿宋_GB2312"/>
                <w:color w:val="000000"/>
                <w:szCs w:val="21"/>
              </w:rPr>
              <w:t>540301</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建筑工程技术</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A080801</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房屋建筑工程</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山东建筑大学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2</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560102</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机械制造与自动化</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A080301</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机械制造及自动化</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青岛科技大学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3</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560301</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机电一体化技术</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A080306</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机电一体化工程</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4</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560302</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电气自动化技术</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A080602</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工业电气自动化技术</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青岛科技大学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5</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590106</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食品营养与卫生</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A081310</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营养、食品与健康</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6</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610201</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计算机应用技术</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A080701</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计算机及应用</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7</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610203</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计算机信息管理</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A082207</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计算机信息管理</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8</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620201</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护理</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A100701</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护理学</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9</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620301</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药学</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A100801</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药学</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10</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620302</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中药学</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C100803</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中药学</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11</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630201</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金融管理</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A020105</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金融</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12</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630302</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会计</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A020203</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会计</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kern w:val="0"/>
                <w:szCs w:val="21"/>
              </w:rPr>
            </w:pPr>
            <w:r>
              <w:rPr>
                <w:rFonts w:hint="eastAsia" w:ascii="仿宋_GB2312" w:hAnsi="仿宋" w:eastAsia="仿宋_GB2312" w:cs="仿宋"/>
                <w:kern w:val="0"/>
                <w:szCs w:val="21"/>
              </w:rPr>
              <w:t>13</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630501</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国际贸易实务</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A020109</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国际贸易</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烟台大学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vMerge w:val="restart"/>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14</w:t>
            </w:r>
          </w:p>
        </w:tc>
        <w:tc>
          <w:tcPr>
            <w:tcW w:w="1001"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630601</w:t>
            </w:r>
          </w:p>
        </w:tc>
        <w:tc>
          <w:tcPr>
            <w:tcW w:w="2055"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工商企业管理</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A020201</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工商企业管理</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vMerge w:val="continue"/>
            <w:noWrap w:val="0"/>
            <w:vAlign w:val="center"/>
          </w:tcPr>
          <w:p>
            <w:pPr>
              <w:widowControl/>
              <w:jc w:val="center"/>
              <w:textAlignment w:val="center"/>
              <w:rPr>
                <w:rFonts w:ascii="仿宋_GB2312" w:hAnsi="仿宋" w:eastAsia="仿宋_GB2312" w:cs="仿宋"/>
                <w:color w:val="000000"/>
                <w:szCs w:val="21"/>
              </w:rPr>
            </w:pPr>
          </w:p>
        </w:tc>
        <w:tc>
          <w:tcPr>
            <w:tcW w:w="1001" w:type="dxa"/>
            <w:vMerge w:val="continue"/>
            <w:noWrap w:val="0"/>
            <w:vAlign w:val="center"/>
          </w:tcPr>
          <w:p>
            <w:pPr>
              <w:jc w:val="center"/>
              <w:rPr>
                <w:rFonts w:ascii="仿宋_GB2312" w:hAnsi="等线" w:eastAsia="仿宋_GB2312" w:cs="宋体"/>
                <w:color w:val="000000"/>
                <w:szCs w:val="21"/>
              </w:rPr>
            </w:pPr>
          </w:p>
        </w:tc>
        <w:tc>
          <w:tcPr>
            <w:tcW w:w="2055" w:type="dxa"/>
            <w:vMerge w:val="continue"/>
            <w:noWrap w:val="0"/>
            <w:vAlign w:val="center"/>
          </w:tcPr>
          <w:p>
            <w:pPr>
              <w:jc w:val="center"/>
              <w:rPr>
                <w:rFonts w:ascii="仿宋_GB2312" w:hAnsi="等线" w:eastAsia="仿宋_GB2312" w:cs="宋体"/>
                <w:color w:val="000000"/>
                <w:szCs w:val="21"/>
              </w:rPr>
            </w:pP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A020258</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企业管理</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vMerge w:val="restart"/>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15</w:t>
            </w:r>
          </w:p>
        </w:tc>
        <w:tc>
          <w:tcPr>
            <w:tcW w:w="1001"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630701</w:t>
            </w:r>
          </w:p>
        </w:tc>
        <w:tc>
          <w:tcPr>
            <w:tcW w:w="2055"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市场营销</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A020207</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市场营销</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vMerge w:val="continue"/>
            <w:noWrap w:val="0"/>
            <w:vAlign w:val="center"/>
          </w:tcPr>
          <w:p>
            <w:pPr>
              <w:jc w:val="center"/>
              <w:textAlignment w:val="center"/>
              <w:rPr>
                <w:rFonts w:ascii="仿宋_GB2312" w:hAnsi="仿宋" w:eastAsia="仿宋_GB2312" w:cs="仿宋"/>
                <w:color w:val="000000"/>
                <w:szCs w:val="21"/>
              </w:rPr>
            </w:pPr>
          </w:p>
        </w:tc>
        <w:tc>
          <w:tcPr>
            <w:tcW w:w="1001" w:type="dxa"/>
            <w:vMerge w:val="continue"/>
            <w:noWrap w:val="0"/>
            <w:vAlign w:val="center"/>
          </w:tcPr>
          <w:p>
            <w:pPr>
              <w:jc w:val="center"/>
              <w:rPr>
                <w:rFonts w:ascii="仿宋_GB2312" w:hAnsi="等线" w:eastAsia="仿宋_GB2312" w:cs="宋体"/>
                <w:color w:val="000000"/>
                <w:szCs w:val="21"/>
              </w:rPr>
            </w:pPr>
          </w:p>
        </w:tc>
        <w:tc>
          <w:tcPr>
            <w:tcW w:w="2055" w:type="dxa"/>
            <w:vMerge w:val="continue"/>
            <w:noWrap w:val="0"/>
            <w:vAlign w:val="center"/>
          </w:tcPr>
          <w:p>
            <w:pPr>
              <w:jc w:val="center"/>
              <w:rPr>
                <w:rFonts w:ascii="仿宋_GB2312" w:hAnsi="等线" w:eastAsia="仿宋_GB2312" w:cs="宋体"/>
                <w:color w:val="000000"/>
                <w:szCs w:val="21"/>
              </w:rPr>
            </w:pP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A020313</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销售管理</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13</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630903</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物流管理</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A020228</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物流管理</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17</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640105</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酒店管理</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A020211</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饭店管理</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18</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650102</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视觉传播设计与制作</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A050406</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视觉传达设计</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齐鲁工业大学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19</w:t>
            </w:r>
          </w:p>
        </w:tc>
        <w:tc>
          <w:tcPr>
            <w:tcW w:w="1001" w:type="dxa"/>
            <w:noWrap w:val="0"/>
            <w:vAlign w:val="center"/>
          </w:tcPr>
          <w:p>
            <w:pPr>
              <w:widowControl/>
              <w:jc w:val="center"/>
              <w:rPr>
                <w:rFonts w:ascii="仿宋_GB2312" w:hAnsi="等线" w:eastAsia="仿宋_GB2312"/>
                <w:color w:val="000000"/>
                <w:kern w:val="0"/>
                <w:szCs w:val="21"/>
              </w:rPr>
            </w:pPr>
            <w:r>
              <w:rPr>
                <w:rFonts w:hint="eastAsia" w:ascii="仿宋_GB2312" w:hAnsi="等线" w:eastAsia="仿宋_GB2312"/>
                <w:color w:val="000000"/>
                <w:szCs w:val="21"/>
              </w:rPr>
              <w:t>650111</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环境艺术设计</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A050405</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室内设计</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齐鲁工业大学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20</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670102K</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学前教育</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A040101</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学前教育</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21</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670103K</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小学教育</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A040103</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小学教育</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22</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670206</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应用日语</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C050208</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日语</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23</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670208</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应用韩语</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C050211</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朝鲜语</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24</w:t>
            </w:r>
          </w:p>
        </w:tc>
        <w:tc>
          <w:tcPr>
            <w:tcW w:w="1001" w:type="dxa"/>
            <w:noWrap w:val="0"/>
            <w:vAlign w:val="center"/>
          </w:tcPr>
          <w:p>
            <w:pPr>
              <w:widowControl/>
              <w:jc w:val="center"/>
              <w:rPr>
                <w:rFonts w:ascii="仿宋_GB2312" w:hAnsi="等线" w:eastAsia="仿宋_GB2312"/>
                <w:color w:val="000000"/>
                <w:kern w:val="0"/>
                <w:szCs w:val="21"/>
              </w:rPr>
            </w:pPr>
            <w:r>
              <w:rPr>
                <w:rFonts w:hint="eastAsia" w:ascii="仿宋_GB2312" w:hAnsi="等线" w:eastAsia="仿宋_GB2312"/>
                <w:color w:val="000000"/>
                <w:szCs w:val="21"/>
              </w:rPr>
              <w:t>670301</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文秘</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A050102</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秘书</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25</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680503</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法律事务</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C030102</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法律</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26</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690105</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公共关系</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A050303</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公共关系</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鲁东大学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27</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690206</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行政管理</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A030301</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行政管理</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28</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960101</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新闻学</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C050308</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新闻学</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29</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970201</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汉语言文学</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C050114</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汉语言文学</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70" w:type="dxa"/>
            <w:noWrap w:val="0"/>
            <w:vAlign w:val="center"/>
          </w:tcPr>
          <w:p>
            <w:pPr>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30</w:t>
            </w:r>
          </w:p>
        </w:tc>
        <w:tc>
          <w:tcPr>
            <w:tcW w:w="1001"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970202</w:t>
            </w:r>
          </w:p>
        </w:tc>
        <w:tc>
          <w:tcPr>
            <w:tcW w:w="205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英语</w:t>
            </w:r>
          </w:p>
        </w:tc>
        <w:tc>
          <w:tcPr>
            <w:tcW w:w="112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C050207</w:t>
            </w:r>
          </w:p>
        </w:tc>
        <w:tc>
          <w:tcPr>
            <w:tcW w:w="21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英语</w:t>
            </w:r>
          </w:p>
        </w:tc>
        <w:tc>
          <w:tcPr>
            <w:tcW w:w="169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bl>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ascii="黑体" w:hAnsi="黑体" w:eastAsia="黑体"/>
          <w:sz w:val="32"/>
          <w:szCs w:val="32"/>
        </w:rPr>
      </w:pPr>
      <w:r>
        <w:rPr>
          <w:rFonts w:hint="eastAsia" w:ascii="黑体" w:hAnsi="黑体" w:eastAsia="黑体" w:cs="仿宋"/>
          <w:sz w:val="32"/>
          <w:szCs w:val="32"/>
        </w:rPr>
        <w:t>附件2</w:t>
      </w:r>
    </w:p>
    <w:p>
      <w:pPr>
        <w:spacing w:afterLines="50" w:line="460" w:lineRule="exact"/>
        <w:jc w:val="center"/>
        <w:rPr>
          <w:rFonts w:hint="eastAsia" w:ascii="宋体" w:hAnsi="宋体" w:eastAsia="宋体" w:cs="宋体"/>
          <w:b/>
          <w:bCs/>
          <w:spacing w:val="-20"/>
          <w:sz w:val="44"/>
          <w:szCs w:val="44"/>
        </w:rPr>
      </w:pPr>
      <w:r>
        <w:rPr>
          <w:rFonts w:hint="eastAsia" w:ascii="宋体" w:hAnsi="宋体" w:eastAsia="宋体" w:cs="宋体"/>
          <w:b/>
          <w:bCs/>
          <w:color w:val="000000"/>
          <w:spacing w:val="-20"/>
          <w:kern w:val="0"/>
          <w:sz w:val="44"/>
          <w:szCs w:val="44"/>
        </w:rPr>
        <w:t>山东省高等教育自学考试专业调整表（本科）</w:t>
      </w:r>
    </w:p>
    <w:tbl>
      <w:tblPr>
        <w:tblStyle w:val="4"/>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34"/>
        <w:gridCol w:w="1110"/>
        <w:gridCol w:w="2205"/>
        <w:gridCol w:w="1290"/>
        <w:gridCol w:w="219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blHeader/>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序号</w:t>
            </w:r>
          </w:p>
        </w:tc>
        <w:tc>
          <w:tcPr>
            <w:tcW w:w="111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调整后专业代码</w:t>
            </w:r>
          </w:p>
        </w:tc>
        <w:tc>
          <w:tcPr>
            <w:tcW w:w="2205"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调整后专业名称</w:t>
            </w:r>
          </w:p>
        </w:tc>
        <w:tc>
          <w:tcPr>
            <w:tcW w:w="1290" w:type="dxa"/>
            <w:noWrap w:val="0"/>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原开考专业</w:t>
            </w:r>
          </w:p>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代码</w:t>
            </w:r>
          </w:p>
        </w:tc>
        <w:tc>
          <w:tcPr>
            <w:tcW w:w="2190"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原开考专业名称</w:t>
            </w:r>
          </w:p>
        </w:tc>
        <w:tc>
          <w:tcPr>
            <w:tcW w:w="1845"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主考院校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w:t>
            </w:r>
          </w:p>
        </w:tc>
        <w:tc>
          <w:tcPr>
            <w:tcW w:w="1110" w:type="dxa"/>
            <w:noWrap w:val="0"/>
            <w:vAlign w:val="center"/>
          </w:tcPr>
          <w:p>
            <w:pPr>
              <w:widowControl/>
              <w:jc w:val="center"/>
              <w:rPr>
                <w:rFonts w:ascii="仿宋_GB2312" w:hAnsi="等线" w:eastAsia="仿宋_GB2312"/>
                <w:color w:val="000000"/>
                <w:kern w:val="0"/>
                <w:szCs w:val="21"/>
              </w:rPr>
            </w:pPr>
            <w:r>
              <w:rPr>
                <w:rFonts w:hint="eastAsia" w:ascii="仿宋_GB2312" w:hAnsi="等线" w:eastAsia="仿宋_GB2312"/>
                <w:color w:val="000000"/>
                <w:szCs w:val="21"/>
              </w:rPr>
              <w:t>020202</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税收学</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B020104</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财税</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020301K</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金融学</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B020106</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金融</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3</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020401</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国际经济与贸易</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B020110</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国际贸易</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vMerge w:val="restart"/>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4</w:t>
            </w:r>
          </w:p>
        </w:tc>
        <w:tc>
          <w:tcPr>
            <w:tcW w:w="1110"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030101K</w:t>
            </w:r>
          </w:p>
        </w:tc>
        <w:tc>
          <w:tcPr>
            <w:tcW w:w="2205"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法学</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C030106</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法律</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vMerge w:val="continue"/>
            <w:noWrap w:val="0"/>
            <w:vAlign w:val="center"/>
          </w:tcPr>
          <w:p>
            <w:pPr>
              <w:widowControl/>
              <w:jc w:val="center"/>
              <w:textAlignment w:val="center"/>
              <w:rPr>
                <w:rFonts w:ascii="仿宋_GB2312" w:hAnsi="仿宋" w:eastAsia="仿宋_GB2312" w:cs="仿宋"/>
                <w:color w:val="000000"/>
                <w:szCs w:val="21"/>
              </w:rPr>
            </w:pPr>
          </w:p>
        </w:tc>
        <w:tc>
          <w:tcPr>
            <w:tcW w:w="1110" w:type="dxa"/>
            <w:vMerge w:val="continue"/>
            <w:noWrap w:val="0"/>
            <w:vAlign w:val="center"/>
          </w:tcPr>
          <w:p>
            <w:pPr>
              <w:jc w:val="center"/>
              <w:rPr>
                <w:rFonts w:ascii="仿宋_GB2312" w:hAnsi="等线" w:eastAsia="仿宋_GB2312" w:cs="宋体"/>
                <w:color w:val="000000"/>
                <w:szCs w:val="21"/>
              </w:rPr>
            </w:pPr>
          </w:p>
        </w:tc>
        <w:tc>
          <w:tcPr>
            <w:tcW w:w="2205" w:type="dxa"/>
            <w:vMerge w:val="continue"/>
            <w:noWrap w:val="0"/>
            <w:vAlign w:val="center"/>
          </w:tcPr>
          <w:p>
            <w:pPr>
              <w:jc w:val="center"/>
              <w:rPr>
                <w:rFonts w:ascii="仿宋_GB2312" w:hAnsi="等线" w:eastAsia="仿宋_GB2312" w:cs="宋体"/>
                <w:color w:val="000000"/>
                <w:szCs w:val="21"/>
              </w:rPr>
            </w:pP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B030107</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经济法学</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5</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030302</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社会工作</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B030203</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社会工作与管理</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6</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030612TK</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公安管理学</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C030401</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公安管理</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中国人民公安大学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7</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040101</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教育学</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B040108</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教育学</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曲阜师范大学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8</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040106</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学前教育</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B040102</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学前教育</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vMerge w:val="restart"/>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9</w:t>
            </w:r>
          </w:p>
        </w:tc>
        <w:tc>
          <w:tcPr>
            <w:tcW w:w="1110"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050101</w:t>
            </w:r>
          </w:p>
        </w:tc>
        <w:tc>
          <w:tcPr>
            <w:tcW w:w="2205"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汉语言文学</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C050105</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汉语言文学</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vMerge w:val="continue"/>
            <w:noWrap w:val="0"/>
            <w:vAlign w:val="center"/>
          </w:tcPr>
          <w:p>
            <w:pPr>
              <w:widowControl/>
              <w:jc w:val="center"/>
              <w:textAlignment w:val="center"/>
              <w:rPr>
                <w:rFonts w:ascii="仿宋_GB2312" w:hAnsi="仿宋" w:eastAsia="仿宋_GB2312" w:cs="仿宋"/>
                <w:color w:val="000000"/>
                <w:szCs w:val="21"/>
              </w:rPr>
            </w:pPr>
          </w:p>
        </w:tc>
        <w:tc>
          <w:tcPr>
            <w:tcW w:w="1110" w:type="dxa"/>
            <w:vMerge w:val="continue"/>
            <w:noWrap w:val="0"/>
            <w:vAlign w:val="center"/>
          </w:tcPr>
          <w:p>
            <w:pPr>
              <w:jc w:val="center"/>
              <w:rPr>
                <w:rFonts w:ascii="仿宋_GB2312" w:hAnsi="等线" w:eastAsia="仿宋_GB2312" w:cs="宋体"/>
                <w:color w:val="000000"/>
                <w:szCs w:val="21"/>
              </w:rPr>
            </w:pPr>
          </w:p>
        </w:tc>
        <w:tc>
          <w:tcPr>
            <w:tcW w:w="2205" w:type="dxa"/>
            <w:vMerge w:val="continue"/>
            <w:noWrap w:val="0"/>
            <w:vAlign w:val="center"/>
          </w:tcPr>
          <w:p>
            <w:pPr>
              <w:jc w:val="center"/>
              <w:rPr>
                <w:rFonts w:ascii="仿宋_GB2312" w:hAnsi="等线" w:eastAsia="仿宋_GB2312" w:cs="宋体"/>
                <w:color w:val="000000"/>
                <w:szCs w:val="21"/>
              </w:rPr>
            </w:pP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B050113</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汉语言文学教育</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曲阜师范大学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10</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050107T</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秘书学</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B050104</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秘书学</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11</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050201</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英语</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C050201</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英语</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12</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050207</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日语</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C050202</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日语</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13</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050209</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朝鲜语</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C050223</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韩国语</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14</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050262</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商务英语</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C050218</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商务英语</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15</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050301</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新闻学</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C050305</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新闻学</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16</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050303</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广告学</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B050302</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广告学</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齐鲁工业大学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17</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080204</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机械电子工程</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B080307</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机电一体化工程</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18</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080702</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电子科学与技术</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B080705</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电子工程</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曲阜师范大学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vMerge w:val="restart"/>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19</w:t>
            </w:r>
          </w:p>
        </w:tc>
        <w:tc>
          <w:tcPr>
            <w:tcW w:w="1110"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080901</w:t>
            </w:r>
          </w:p>
        </w:tc>
        <w:tc>
          <w:tcPr>
            <w:tcW w:w="2205"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计算机科学与技术</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B082208</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计算机信息管理</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vMerge w:val="continue"/>
            <w:noWrap w:val="0"/>
            <w:vAlign w:val="center"/>
          </w:tcPr>
          <w:p>
            <w:pPr>
              <w:widowControl/>
              <w:jc w:val="center"/>
              <w:textAlignment w:val="center"/>
              <w:rPr>
                <w:rFonts w:ascii="仿宋_GB2312" w:hAnsi="仿宋" w:eastAsia="仿宋_GB2312" w:cs="仿宋"/>
                <w:color w:val="000000"/>
                <w:szCs w:val="21"/>
              </w:rPr>
            </w:pPr>
          </w:p>
        </w:tc>
        <w:tc>
          <w:tcPr>
            <w:tcW w:w="1110" w:type="dxa"/>
            <w:vMerge w:val="continue"/>
            <w:noWrap w:val="0"/>
            <w:vAlign w:val="center"/>
          </w:tcPr>
          <w:p>
            <w:pPr>
              <w:jc w:val="center"/>
              <w:rPr>
                <w:rFonts w:ascii="仿宋_GB2312" w:hAnsi="等线" w:eastAsia="仿宋_GB2312" w:cs="宋体"/>
                <w:color w:val="000000"/>
                <w:szCs w:val="21"/>
              </w:rPr>
            </w:pPr>
          </w:p>
        </w:tc>
        <w:tc>
          <w:tcPr>
            <w:tcW w:w="2205" w:type="dxa"/>
            <w:vMerge w:val="continue"/>
            <w:noWrap w:val="0"/>
            <w:vAlign w:val="center"/>
          </w:tcPr>
          <w:p>
            <w:pPr>
              <w:jc w:val="center"/>
              <w:rPr>
                <w:rFonts w:ascii="仿宋_GB2312" w:hAnsi="等线" w:eastAsia="仿宋_GB2312" w:cs="宋体"/>
                <w:color w:val="000000"/>
                <w:szCs w:val="21"/>
              </w:rPr>
            </w:pP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B080702</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计算机及应用</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20</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080903</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网络工程</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B080709</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计算机网络</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21</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081001</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土木工程</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B080806</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建筑工程</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青岛理工大学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22</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090401</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动物医学</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B090403</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畜牧兽医</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青岛农业大学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23</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101101</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护理学</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B100702</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护理学</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潍坊医学院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vMerge w:val="restart"/>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24</w:t>
            </w:r>
          </w:p>
        </w:tc>
        <w:tc>
          <w:tcPr>
            <w:tcW w:w="1110"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120103</w:t>
            </w:r>
          </w:p>
        </w:tc>
        <w:tc>
          <w:tcPr>
            <w:tcW w:w="2205"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工程管理</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B020279</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工程管理</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青岛理工大学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vMerge w:val="continue"/>
            <w:noWrap w:val="0"/>
            <w:vAlign w:val="center"/>
          </w:tcPr>
          <w:p>
            <w:pPr>
              <w:widowControl/>
              <w:jc w:val="center"/>
              <w:textAlignment w:val="center"/>
              <w:rPr>
                <w:rFonts w:ascii="仿宋_GB2312" w:hAnsi="仿宋" w:eastAsia="仿宋_GB2312" w:cs="仿宋"/>
                <w:color w:val="000000"/>
                <w:szCs w:val="21"/>
              </w:rPr>
            </w:pPr>
          </w:p>
        </w:tc>
        <w:tc>
          <w:tcPr>
            <w:tcW w:w="1110" w:type="dxa"/>
            <w:vMerge w:val="continue"/>
            <w:noWrap w:val="0"/>
            <w:vAlign w:val="center"/>
          </w:tcPr>
          <w:p>
            <w:pPr>
              <w:jc w:val="center"/>
              <w:rPr>
                <w:rFonts w:ascii="仿宋_GB2312" w:hAnsi="等线" w:eastAsia="仿宋_GB2312" w:cs="宋体"/>
                <w:color w:val="000000"/>
                <w:szCs w:val="21"/>
              </w:rPr>
            </w:pPr>
          </w:p>
        </w:tc>
        <w:tc>
          <w:tcPr>
            <w:tcW w:w="2205" w:type="dxa"/>
            <w:vMerge w:val="continue"/>
            <w:noWrap w:val="0"/>
            <w:vAlign w:val="center"/>
          </w:tcPr>
          <w:p>
            <w:pPr>
              <w:jc w:val="center"/>
              <w:rPr>
                <w:rFonts w:ascii="仿宋_GB2312" w:hAnsi="等线" w:eastAsia="仿宋_GB2312" w:cs="宋体"/>
                <w:color w:val="000000"/>
                <w:szCs w:val="21"/>
              </w:rPr>
            </w:pP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B020256</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项目管理</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vMerge w:val="restart"/>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25</w:t>
            </w:r>
          </w:p>
        </w:tc>
        <w:tc>
          <w:tcPr>
            <w:tcW w:w="1110"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120201K</w:t>
            </w:r>
          </w:p>
        </w:tc>
        <w:tc>
          <w:tcPr>
            <w:tcW w:w="2205"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工商管理</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B020202</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工商企业管理</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vMerge w:val="continue"/>
            <w:noWrap w:val="0"/>
            <w:vAlign w:val="center"/>
          </w:tcPr>
          <w:p>
            <w:pPr>
              <w:widowControl/>
              <w:jc w:val="center"/>
              <w:textAlignment w:val="center"/>
              <w:rPr>
                <w:rFonts w:ascii="仿宋_GB2312" w:hAnsi="仿宋" w:eastAsia="仿宋_GB2312" w:cs="仿宋"/>
                <w:color w:val="000000"/>
                <w:szCs w:val="21"/>
              </w:rPr>
            </w:pPr>
          </w:p>
        </w:tc>
        <w:tc>
          <w:tcPr>
            <w:tcW w:w="1110" w:type="dxa"/>
            <w:vMerge w:val="continue"/>
            <w:noWrap w:val="0"/>
            <w:vAlign w:val="center"/>
          </w:tcPr>
          <w:p>
            <w:pPr>
              <w:jc w:val="center"/>
              <w:rPr>
                <w:rFonts w:ascii="仿宋_GB2312" w:hAnsi="等线" w:eastAsia="仿宋_GB2312" w:cs="宋体"/>
                <w:color w:val="000000"/>
                <w:szCs w:val="21"/>
              </w:rPr>
            </w:pPr>
          </w:p>
        </w:tc>
        <w:tc>
          <w:tcPr>
            <w:tcW w:w="2205" w:type="dxa"/>
            <w:vMerge w:val="continue"/>
            <w:noWrap w:val="0"/>
            <w:vAlign w:val="center"/>
          </w:tcPr>
          <w:p>
            <w:pPr>
              <w:jc w:val="center"/>
              <w:rPr>
                <w:rFonts w:ascii="仿宋_GB2312" w:hAnsi="等线" w:eastAsia="仿宋_GB2312" w:cs="宋体"/>
                <w:color w:val="000000"/>
                <w:szCs w:val="21"/>
              </w:rPr>
            </w:pP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B020259</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企业管理</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vMerge w:val="restart"/>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26</w:t>
            </w:r>
          </w:p>
        </w:tc>
        <w:tc>
          <w:tcPr>
            <w:tcW w:w="1110"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120202</w:t>
            </w:r>
          </w:p>
        </w:tc>
        <w:tc>
          <w:tcPr>
            <w:tcW w:w="2205" w:type="dxa"/>
            <w:vMerge w:val="restart"/>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市场营销</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B020208</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市场营销</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vMerge w:val="continue"/>
            <w:noWrap w:val="0"/>
            <w:vAlign w:val="center"/>
          </w:tcPr>
          <w:p>
            <w:pPr>
              <w:widowControl/>
              <w:jc w:val="center"/>
              <w:textAlignment w:val="center"/>
              <w:rPr>
                <w:rFonts w:ascii="仿宋_GB2312" w:hAnsi="仿宋" w:eastAsia="仿宋_GB2312" w:cs="仿宋"/>
                <w:color w:val="000000"/>
                <w:szCs w:val="21"/>
              </w:rPr>
            </w:pPr>
          </w:p>
        </w:tc>
        <w:tc>
          <w:tcPr>
            <w:tcW w:w="1110" w:type="dxa"/>
            <w:vMerge w:val="continue"/>
            <w:noWrap w:val="0"/>
            <w:vAlign w:val="center"/>
          </w:tcPr>
          <w:p>
            <w:pPr>
              <w:jc w:val="center"/>
              <w:rPr>
                <w:rFonts w:ascii="仿宋_GB2312" w:hAnsi="等线" w:eastAsia="仿宋_GB2312" w:cs="宋体"/>
                <w:color w:val="000000"/>
                <w:szCs w:val="21"/>
              </w:rPr>
            </w:pPr>
          </w:p>
        </w:tc>
        <w:tc>
          <w:tcPr>
            <w:tcW w:w="2205" w:type="dxa"/>
            <w:vMerge w:val="continue"/>
            <w:noWrap w:val="0"/>
            <w:vAlign w:val="center"/>
          </w:tcPr>
          <w:p>
            <w:pPr>
              <w:jc w:val="center"/>
              <w:rPr>
                <w:rFonts w:ascii="仿宋_GB2312" w:hAnsi="等线" w:eastAsia="仿宋_GB2312" w:cs="宋体"/>
                <w:color w:val="000000"/>
                <w:szCs w:val="21"/>
              </w:rPr>
            </w:pP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B020314</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销售管理</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27</w:t>
            </w:r>
          </w:p>
        </w:tc>
        <w:tc>
          <w:tcPr>
            <w:tcW w:w="1110" w:type="dxa"/>
            <w:noWrap w:val="0"/>
            <w:vAlign w:val="center"/>
          </w:tcPr>
          <w:p>
            <w:pPr>
              <w:widowControl/>
              <w:jc w:val="center"/>
              <w:rPr>
                <w:rFonts w:ascii="仿宋_GB2312" w:hAnsi="等线" w:eastAsia="仿宋_GB2312"/>
                <w:color w:val="000000"/>
                <w:kern w:val="0"/>
                <w:szCs w:val="21"/>
              </w:rPr>
            </w:pPr>
            <w:r>
              <w:rPr>
                <w:rFonts w:hint="eastAsia" w:ascii="仿宋_GB2312" w:hAnsi="等线" w:eastAsia="仿宋_GB2312"/>
                <w:color w:val="000000"/>
                <w:szCs w:val="21"/>
              </w:rPr>
              <w:t>120203K</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会计学</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B020204</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会计</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28</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120206</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人力资源管理</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B020218</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人力资源管理</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29</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120209</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物业管理</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B020222</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物业管理</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30</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120210</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文化产业管理</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B020155</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文化产业</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szCs w:val="21"/>
              </w:rPr>
            </w:pPr>
            <w:r>
              <w:rPr>
                <w:rFonts w:hint="eastAsia" w:ascii="仿宋_GB2312" w:hAnsi="仿宋" w:eastAsia="仿宋_GB2312" w:cs="仿宋"/>
                <w:color w:val="000000"/>
                <w:szCs w:val="21"/>
              </w:rPr>
              <w:t>31</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120402</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行政管理</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B030302</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行政管理学</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32</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120601</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物流管理</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B020229</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物流管理</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33</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120603T</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采购管理</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B020282</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采购与供应管理</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34</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120801</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电子商务</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B020216</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电子商务</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35</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120901K</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旅游管理</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B020210</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旅游管理</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36</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120903</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会展经济与管理</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B020180</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会展管理</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jc w:val="center"/>
        </w:trPr>
        <w:tc>
          <w:tcPr>
            <w:tcW w:w="534" w:type="dxa"/>
            <w:noWrap w:val="0"/>
            <w:vAlign w:val="center"/>
          </w:tcPr>
          <w:p>
            <w:pPr>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37</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130310</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动画</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B050438</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动画设计</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p>
            <w:pPr>
              <w:jc w:val="center"/>
              <w:rPr>
                <w:rFonts w:ascii="仿宋_GB2312" w:hAnsi="等线" w:eastAsia="仿宋_GB2312"/>
                <w:color w:val="000000"/>
                <w:szCs w:val="21"/>
              </w:rPr>
            </w:pPr>
            <w:r>
              <w:rPr>
                <w:rFonts w:hint="eastAsia" w:ascii="仿宋_GB2312" w:hAnsi="等线" w:eastAsia="仿宋_GB2312"/>
                <w:color w:val="000000"/>
                <w:szCs w:val="21"/>
              </w:rPr>
              <w:t>青岛农业大学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38</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130502</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视觉传达设计</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B050433</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视觉传达设计</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齐鲁工业大学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39</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130503</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环境设计</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B050432</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室内设计</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齐鲁工业大学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jc w:val="center"/>
        </w:trPr>
        <w:tc>
          <w:tcPr>
            <w:tcW w:w="534" w:type="dxa"/>
            <w:noWrap w:val="0"/>
            <w:vAlign w:val="center"/>
          </w:tcPr>
          <w:p>
            <w:pPr>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40</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130508</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数字媒体艺术</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B050450</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电脑艺术设计</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齐鲁工业大学</w:t>
            </w:r>
          </w:p>
          <w:p>
            <w:pPr>
              <w:jc w:val="center"/>
              <w:rPr>
                <w:rFonts w:ascii="仿宋_GB2312" w:hAnsi="等线" w:eastAsia="仿宋_GB2312"/>
                <w:color w:val="000000"/>
                <w:szCs w:val="21"/>
              </w:rPr>
            </w:pPr>
            <w:r>
              <w:rPr>
                <w:rFonts w:hint="eastAsia" w:ascii="仿宋_GB2312" w:hAnsi="等线" w:eastAsia="仿宋_GB2312"/>
                <w:color w:val="000000"/>
                <w:szCs w:val="21"/>
              </w:rPr>
              <w:t>青岛科技大学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41</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340101</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教育管理</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B040107</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教育管理</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齐鲁师范学院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42</w:t>
            </w:r>
          </w:p>
        </w:tc>
        <w:tc>
          <w:tcPr>
            <w:tcW w:w="1110" w:type="dxa"/>
            <w:noWrap w:val="0"/>
            <w:vAlign w:val="center"/>
          </w:tcPr>
          <w:p>
            <w:pPr>
              <w:widowControl/>
              <w:jc w:val="center"/>
              <w:rPr>
                <w:rFonts w:ascii="仿宋_GB2312" w:hAnsi="等线" w:eastAsia="仿宋_GB2312"/>
                <w:color w:val="000000"/>
                <w:kern w:val="0"/>
                <w:szCs w:val="21"/>
              </w:rPr>
            </w:pPr>
            <w:r>
              <w:rPr>
                <w:rFonts w:hint="eastAsia" w:ascii="仿宋_GB2312" w:hAnsi="等线" w:eastAsia="仿宋_GB2312"/>
                <w:color w:val="000000"/>
                <w:szCs w:val="21"/>
              </w:rPr>
              <w:t>340102</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心理健康教育</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B040110</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心理健康教育</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534" w:type="dxa"/>
            <w:noWrap w:val="0"/>
            <w:vAlign w:val="center"/>
          </w:tcPr>
          <w:p>
            <w:pPr>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43</w:t>
            </w:r>
          </w:p>
        </w:tc>
        <w:tc>
          <w:tcPr>
            <w:tcW w:w="111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401101</w:t>
            </w:r>
          </w:p>
        </w:tc>
        <w:tc>
          <w:tcPr>
            <w:tcW w:w="220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社区护理学</w:t>
            </w:r>
          </w:p>
        </w:tc>
        <w:tc>
          <w:tcPr>
            <w:tcW w:w="12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B100705</w:t>
            </w:r>
          </w:p>
        </w:tc>
        <w:tc>
          <w:tcPr>
            <w:tcW w:w="2190"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社区护理学</w:t>
            </w:r>
          </w:p>
        </w:tc>
        <w:tc>
          <w:tcPr>
            <w:tcW w:w="1845" w:type="dxa"/>
            <w:noWrap w:val="0"/>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山东大学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E8700"/>
    <w:multiLevelType w:val="singleLevel"/>
    <w:tmpl w:val="E18E87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72303"/>
    <w:rsid w:val="02372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2019-05-17T06:45:00Z</dcterms:created>
  <dc:creator>lik</dc:creator>
  <cp:lastModifiedBy>lik</cp:lastModifiedBy>
  <dcterms:modified xsi:type="dcterms:W3CDTF">2019-05-17T06:45:44Z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