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0"/>
          <w:tab w:val="left" w:pos="540"/>
        </w:tabs>
        <w:spacing w:line="540" w:lineRule="exact"/>
        <w:ind w:firstLine="0"/>
        <w:jc w:val="center"/>
        <w:rPr>
          <w:b/>
          <w:bCs/>
        </w:rPr>
      </w:pPr>
      <w:r>
        <w:rPr>
          <w:rFonts w:hint="eastAsia" w:ascii="微软雅黑" w:hAnsi="微软雅黑" w:eastAsia="微软雅黑" w:cs="微软雅黑"/>
          <w:b/>
          <w:color w:val="FF0000"/>
          <w:w w:val="101"/>
          <w:sz w:val="48"/>
          <w:szCs w:val="48"/>
        </w:rPr>
        <w:t>全国高校网络教育考试委员会办公室电函</w:t>
      </w:r>
    </w:p>
    <w:p>
      <w:pPr>
        <w:pStyle w:val="2"/>
        <w:tabs>
          <w:tab w:val="left" w:pos="180"/>
          <w:tab w:val="left" w:pos="540"/>
        </w:tabs>
        <w:spacing w:before="156" w:beforeLines="50" w:line="640" w:lineRule="exact"/>
        <w:ind w:firstLine="539"/>
        <w:jc w:val="righ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139065</wp:posOffset>
                </wp:positionV>
                <wp:extent cx="5600700" cy="0"/>
                <wp:effectExtent l="0" t="25400" r="0" b="317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6.8pt;margin-top:10.95pt;height:0pt;width:441pt;z-index:251658240;mso-width-relative:page;mso-height-relative:page;" filled="f" stroked="t" coordsize="21600,21600" o:gfxdata="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w/qj9cAAAAIAQAADwAAAAAAAAABACAAAAAiAAAAZHJzL2Rvd25y&#10;ZXYueG1sUEsBAhQAFAAAAAgAh07iQJlJXI/GAQAAZQMAAA4AAAAAAAAAAQAgAAAAJgEAAGRycy9l&#10;Mm9Eb2MueG1sUEsFBgAAAAAGAAYAWQEAAF4FAAAAAA=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bCs/>
        </w:rPr>
        <w:t>网考电函[2020]01号</w:t>
      </w:r>
    </w:p>
    <w:p>
      <w:pPr>
        <w:spacing w:line="480" w:lineRule="exact"/>
        <w:rPr>
          <w:rFonts w:ascii="Arial" w:hAnsi="Arial" w:cs="Arial"/>
          <w:sz w:val="28"/>
        </w:rPr>
      </w:pPr>
    </w:p>
    <w:p>
      <w:pPr>
        <w:spacing w:line="60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关于公布2019年12月统考成绩的通知</w:t>
      </w:r>
    </w:p>
    <w:p>
      <w:pPr>
        <w:spacing w:line="480" w:lineRule="exact"/>
        <w:rPr>
          <w:rFonts w:ascii="Arial" w:hAnsi="Arial" w:cs="Arial"/>
          <w:sz w:val="28"/>
        </w:rPr>
      </w:pPr>
    </w:p>
    <w:p>
      <w:pPr>
        <w:spacing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各试点高校网络教育学院：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2019年12月统考合格成绩教育部已经审批，登录“中国现代远程与继续教育网”（</w:t>
      </w:r>
      <w:r>
        <w:fldChar w:fldCharType="begin"/>
      </w:r>
      <w:r>
        <w:instrText xml:space="preserve"> HYPERLINK "http://www.cdce.cn/" </w:instrText>
      </w:r>
      <w:r>
        <w:fldChar w:fldCharType="separate"/>
      </w:r>
      <w:r>
        <w:rPr>
          <w:rFonts w:hint="eastAsia" w:ascii="Arial" w:hAnsi="Arial" w:cs="Arial"/>
          <w:sz w:val="28"/>
        </w:rPr>
        <w:t>www.cdce.cn</w:t>
      </w:r>
      <w:r>
        <w:rPr>
          <w:rFonts w:hint="eastAsia" w:ascii="Arial" w:hAnsi="Arial" w:cs="Arial"/>
          <w:sz w:val="28"/>
        </w:rPr>
        <w:fldChar w:fldCharType="end"/>
      </w:r>
      <w:r>
        <w:rPr>
          <w:rFonts w:hint="eastAsia" w:ascii="Arial" w:hAnsi="Arial" w:cs="Arial"/>
          <w:sz w:val="28"/>
        </w:rPr>
        <w:t>）可以查询成绩是否合格。现将本次统考各科成绩的合格率通知如下。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2019年12月统考各科目的合格率分别为：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《计算机应用基础》 的合格率为7</w:t>
      </w:r>
      <w:r>
        <w:rPr>
          <w:rFonts w:ascii="Arial" w:hAnsi="Arial" w:cs="Arial"/>
          <w:sz w:val="28"/>
        </w:rPr>
        <w:t>6.36</w:t>
      </w:r>
      <w:r>
        <w:rPr>
          <w:rFonts w:hint="eastAsia" w:ascii="Arial" w:hAnsi="Arial" w:cs="Arial"/>
          <w:sz w:val="28"/>
        </w:rPr>
        <w:t>%；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《大学英语A 》    的合格率为</w:t>
      </w:r>
      <w:r>
        <w:rPr>
          <w:rFonts w:ascii="Arial" w:hAnsi="Arial" w:cs="Arial"/>
          <w:sz w:val="28"/>
        </w:rPr>
        <w:t>48.18</w:t>
      </w:r>
      <w:r>
        <w:rPr>
          <w:rFonts w:hint="eastAsia" w:ascii="Arial" w:hAnsi="Arial" w:cs="Arial"/>
          <w:sz w:val="28"/>
        </w:rPr>
        <w:t>%；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《大学英语B 》    的合格率为</w:t>
      </w:r>
      <w:r>
        <w:rPr>
          <w:rFonts w:ascii="Arial" w:hAnsi="Arial" w:cs="Arial"/>
          <w:sz w:val="28"/>
        </w:rPr>
        <w:t>61.84</w:t>
      </w:r>
      <w:r>
        <w:rPr>
          <w:rFonts w:hint="eastAsia" w:ascii="Arial" w:hAnsi="Arial" w:cs="Arial"/>
          <w:sz w:val="28"/>
        </w:rPr>
        <w:t>%；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《大学英语C 》    的合格率为</w:t>
      </w:r>
      <w:r>
        <w:rPr>
          <w:rFonts w:ascii="Arial" w:hAnsi="Arial" w:cs="Arial"/>
          <w:sz w:val="28"/>
        </w:rPr>
        <w:t>66.77</w:t>
      </w:r>
      <w:r>
        <w:rPr>
          <w:rFonts w:hint="eastAsia" w:ascii="Arial" w:hAnsi="Arial" w:cs="Arial"/>
          <w:sz w:val="28"/>
        </w:rPr>
        <w:t>%；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《大学语文A 》    的合格率为</w:t>
      </w:r>
      <w:r>
        <w:rPr>
          <w:rFonts w:ascii="Arial" w:hAnsi="Arial" w:cs="Arial"/>
          <w:sz w:val="28"/>
        </w:rPr>
        <w:t>78.28</w:t>
      </w:r>
      <w:r>
        <w:rPr>
          <w:rFonts w:hint="eastAsia" w:ascii="Arial" w:hAnsi="Arial" w:cs="Arial"/>
          <w:sz w:val="28"/>
        </w:rPr>
        <w:t>%；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《大学语文B 》    的合格率为</w:t>
      </w:r>
      <w:r>
        <w:rPr>
          <w:rFonts w:ascii="Arial" w:hAnsi="Arial" w:cs="Arial"/>
          <w:sz w:val="28"/>
        </w:rPr>
        <w:t>67.83</w:t>
      </w:r>
      <w:r>
        <w:rPr>
          <w:rFonts w:hint="eastAsia" w:ascii="Arial" w:hAnsi="Arial" w:cs="Arial"/>
          <w:sz w:val="28"/>
        </w:rPr>
        <w:t>%；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sz w:val="28"/>
        </w:rPr>
        <w:t>《高等数学A 》    的合格率为</w:t>
      </w:r>
      <w:r>
        <w:rPr>
          <w:rFonts w:ascii="Arial" w:hAnsi="Arial" w:cs="Arial"/>
          <w:sz w:val="28"/>
        </w:rPr>
        <w:t>0</w:t>
      </w:r>
      <w:r>
        <w:rPr>
          <w:rFonts w:hint="eastAsia" w:ascii="Arial" w:hAnsi="Arial" w:cs="Arial"/>
          <w:sz w:val="28"/>
        </w:rPr>
        <w:t>%；</w:t>
      </w:r>
    </w:p>
    <w:p>
      <w:pPr>
        <w:spacing w:line="480" w:lineRule="exact"/>
        <w:ind w:firstLine="560" w:firstLineChars="200"/>
        <w:rPr>
          <w:rFonts w:ascii="Arial" w:hAnsi="Arial" w:cs="Arial"/>
          <w:sz w:val="28"/>
          <w:highlight w:val="yellow"/>
        </w:rPr>
      </w:pPr>
      <w:r>
        <w:rPr>
          <w:rFonts w:hint="eastAsia" w:ascii="Arial" w:hAnsi="Arial" w:cs="Arial"/>
          <w:sz w:val="28"/>
        </w:rPr>
        <w:t>《高等数学B 》    的合格率为</w:t>
      </w:r>
      <w:r>
        <w:rPr>
          <w:rFonts w:ascii="Arial" w:hAnsi="Arial" w:cs="Arial"/>
          <w:sz w:val="28"/>
        </w:rPr>
        <w:t>43.42</w:t>
      </w:r>
      <w:r>
        <w:rPr>
          <w:rFonts w:hint="eastAsia" w:ascii="Arial" w:hAnsi="Arial" w:cs="Arial"/>
          <w:sz w:val="28"/>
        </w:rPr>
        <w:t>%。</w:t>
      </w:r>
    </w:p>
    <w:p>
      <w:pPr>
        <w:spacing w:line="480" w:lineRule="exact"/>
        <w:ind w:firstLine="420" w:firstLineChars="150"/>
        <w:rPr>
          <w:rFonts w:ascii="宋体" w:hAnsi="宋体" w:cs="Arial"/>
          <w:sz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请各试点高校及时通知考生查询成绩，以免影响考生2020年4月份统考的报考工作。</w:t>
      </w:r>
      <w:r>
        <w:rPr>
          <w:rFonts w:hint="eastAsia" w:ascii="宋体" w:hAnsi="宋体"/>
          <w:sz w:val="28"/>
          <w:szCs w:val="28"/>
        </w:rPr>
        <w:t>同时，各试点高校应进一步加强对网络教育的规范管理，切实抓好网络教育的教学工作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，保证网络教育的公共基础课教学及其学习支持服务，提高教学效果，促进网络教育健康、有序地发展。</w:t>
      </w:r>
    </w:p>
    <w:p>
      <w:pPr>
        <w:spacing w:line="48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3654" w:firstLineChars="13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全国高校网络教育考试委员会办公室</w:t>
      </w:r>
    </w:p>
    <w:p>
      <w:pPr>
        <w:spacing w:line="480" w:lineRule="exact"/>
        <w:ind w:firstLine="4779" w:firstLineChars="17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2020年1月</w:t>
      </w:r>
      <w:r>
        <w:rPr>
          <w:rFonts w:ascii="宋体" w:hAnsi="宋体"/>
          <w:b/>
          <w:sz w:val="28"/>
          <w:szCs w:val="28"/>
        </w:rPr>
        <w:t>10</w:t>
      </w:r>
      <w:r>
        <w:rPr>
          <w:rFonts w:hint="eastAsia" w:ascii="宋体" w:hAnsi="宋体"/>
          <w:b/>
          <w:sz w:val="28"/>
          <w:szCs w:val="28"/>
        </w:rPr>
        <w:t>日</w:t>
      </w:r>
    </w:p>
    <w:sectPr>
      <w:pgSz w:w="11906" w:h="16838"/>
      <w:pgMar w:top="1361" w:right="1468" w:bottom="1361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30"/>
    <w:rsid w:val="00002DB6"/>
    <w:rsid w:val="000247DB"/>
    <w:rsid w:val="00027B64"/>
    <w:rsid w:val="000408A0"/>
    <w:rsid w:val="00057198"/>
    <w:rsid w:val="000859D5"/>
    <w:rsid w:val="00087830"/>
    <w:rsid w:val="000D5493"/>
    <w:rsid w:val="00114EE7"/>
    <w:rsid w:val="001437E4"/>
    <w:rsid w:val="001F3450"/>
    <w:rsid w:val="002015F6"/>
    <w:rsid w:val="002448CF"/>
    <w:rsid w:val="002452C0"/>
    <w:rsid w:val="002558EC"/>
    <w:rsid w:val="002661E1"/>
    <w:rsid w:val="00273239"/>
    <w:rsid w:val="002B1354"/>
    <w:rsid w:val="002F68B9"/>
    <w:rsid w:val="003356E2"/>
    <w:rsid w:val="00354C3C"/>
    <w:rsid w:val="00356291"/>
    <w:rsid w:val="00382988"/>
    <w:rsid w:val="003A1D3E"/>
    <w:rsid w:val="003D3B45"/>
    <w:rsid w:val="003D5F12"/>
    <w:rsid w:val="003F6DB6"/>
    <w:rsid w:val="004212BC"/>
    <w:rsid w:val="00422346"/>
    <w:rsid w:val="00432748"/>
    <w:rsid w:val="00496EBD"/>
    <w:rsid w:val="004E7FAD"/>
    <w:rsid w:val="004F3CFC"/>
    <w:rsid w:val="005161F6"/>
    <w:rsid w:val="0051665A"/>
    <w:rsid w:val="00522B6C"/>
    <w:rsid w:val="00525FB3"/>
    <w:rsid w:val="0053380C"/>
    <w:rsid w:val="00533E06"/>
    <w:rsid w:val="00534A1A"/>
    <w:rsid w:val="005422C6"/>
    <w:rsid w:val="00544552"/>
    <w:rsid w:val="005B323B"/>
    <w:rsid w:val="00624637"/>
    <w:rsid w:val="006665A5"/>
    <w:rsid w:val="006C042A"/>
    <w:rsid w:val="006C22E9"/>
    <w:rsid w:val="006F2A20"/>
    <w:rsid w:val="00715278"/>
    <w:rsid w:val="00737107"/>
    <w:rsid w:val="00741F8E"/>
    <w:rsid w:val="00763F30"/>
    <w:rsid w:val="00773ABC"/>
    <w:rsid w:val="007809A6"/>
    <w:rsid w:val="007A2D4A"/>
    <w:rsid w:val="007C252B"/>
    <w:rsid w:val="007C3EB8"/>
    <w:rsid w:val="007D0A28"/>
    <w:rsid w:val="007D624E"/>
    <w:rsid w:val="00812243"/>
    <w:rsid w:val="008252C6"/>
    <w:rsid w:val="00835B17"/>
    <w:rsid w:val="00852C9C"/>
    <w:rsid w:val="0085300C"/>
    <w:rsid w:val="008A464B"/>
    <w:rsid w:val="008B40FE"/>
    <w:rsid w:val="008D58E9"/>
    <w:rsid w:val="009018E7"/>
    <w:rsid w:val="00904440"/>
    <w:rsid w:val="0091231B"/>
    <w:rsid w:val="009156B3"/>
    <w:rsid w:val="00920914"/>
    <w:rsid w:val="0095175B"/>
    <w:rsid w:val="00952DF7"/>
    <w:rsid w:val="009A143D"/>
    <w:rsid w:val="009C2E8C"/>
    <w:rsid w:val="009D5FAE"/>
    <w:rsid w:val="009F0C2B"/>
    <w:rsid w:val="009F310E"/>
    <w:rsid w:val="009F74A5"/>
    <w:rsid w:val="00A003A2"/>
    <w:rsid w:val="00A120B0"/>
    <w:rsid w:val="00A21B31"/>
    <w:rsid w:val="00A62EA1"/>
    <w:rsid w:val="00AB428A"/>
    <w:rsid w:val="00B17E15"/>
    <w:rsid w:val="00B32EAB"/>
    <w:rsid w:val="00B773F5"/>
    <w:rsid w:val="00BA2C87"/>
    <w:rsid w:val="00BB76DD"/>
    <w:rsid w:val="00BD2EBA"/>
    <w:rsid w:val="00C07A26"/>
    <w:rsid w:val="00C47656"/>
    <w:rsid w:val="00C53F41"/>
    <w:rsid w:val="00C57A9C"/>
    <w:rsid w:val="00C84C05"/>
    <w:rsid w:val="00C85162"/>
    <w:rsid w:val="00D1341D"/>
    <w:rsid w:val="00D33422"/>
    <w:rsid w:val="00D51EA9"/>
    <w:rsid w:val="00D55391"/>
    <w:rsid w:val="00D55D8A"/>
    <w:rsid w:val="00D70979"/>
    <w:rsid w:val="00DA26FB"/>
    <w:rsid w:val="00DB17ED"/>
    <w:rsid w:val="00DC7279"/>
    <w:rsid w:val="00DD245E"/>
    <w:rsid w:val="00DE5B1B"/>
    <w:rsid w:val="00DF1689"/>
    <w:rsid w:val="00DF55D5"/>
    <w:rsid w:val="00E068D0"/>
    <w:rsid w:val="00E31BEA"/>
    <w:rsid w:val="00E51544"/>
    <w:rsid w:val="00E64EA5"/>
    <w:rsid w:val="00EA5EDE"/>
    <w:rsid w:val="00EE773E"/>
    <w:rsid w:val="00F055A9"/>
    <w:rsid w:val="00F21D52"/>
    <w:rsid w:val="00F35F1C"/>
    <w:rsid w:val="00F4164E"/>
    <w:rsid w:val="00F86F32"/>
    <w:rsid w:val="028657EB"/>
    <w:rsid w:val="0E3269EE"/>
    <w:rsid w:val="0E655E09"/>
    <w:rsid w:val="0EE65557"/>
    <w:rsid w:val="0F396DC6"/>
    <w:rsid w:val="1A744175"/>
    <w:rsid w:val="25664452"/>
    <w:rsid w:val="26BD3BDF"/>
    <w:rsid w:val="2A802B56"/>
    <w:rsid w:val="341D2DDA"/>
    <w:rsid w:val="4A6975D9"/>
    <w:rsid w:val="5E2E5996"/>
    <w:rsid w:val="5E672965"/>
    <w:rsid w:val="61257CD1"/>
    <w:rsid w:val="67C36F9F"/>
    <w:rsid w:val="6C34669F"/>
    <w:rsid w:val="6FD06621"/>
    <w:rsid w:val="706737FB"/>
    <w:rsid w:val="72036C8E"/>
    <w:rsid w:val="7274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sz w:val="28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476</Characters>
  <Lines>3</Lines>
  <Paragraphs>1</Paragraphs>
  <TotalTime>5</TotalTime>
  <ScaleCrop>false</ScaleCrop>
  <LinksUpToDate>false</LinksUpToDate>
  <CharactersWithSpaces>558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2010-06-03T01:46:00Z</dcterms:created>
  <dc:creator>微软用户</dc:creator>
  <cp:lastModifiedBy>涂老三</cp:lastModifiedBy>
  <dcterms:modified xsi:type="dcterms:W3CDTF">2020-01-18T05:07:54Z</dcterms:modified>
  <dc:title>全国高校网络教育考试委员会办公室电函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