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A47" w:rsidRPr="00D31408" w:rsidRDefault="00AF2A47" w:rsidP="00AF2A47">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药品制造专业大类</w:t>
      </w:r>
    </w:p>
    <w:p w:rsidR="00AF2A47" w:rsidRPr="00D31408" w:rsidRDefault="00AF2A47" w:rsidP="00AF2A47">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AF2A47" w:rsidRPr="00D31408" w:rsidRDefault="00AF2A47" w:rsidP="00AF2A47">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药品生产技术专业、药物制剂技术专业、中药制药技术专业</w:t>
      </w:r>
      <w:r w:rsidRPr="00D31408">
        <w:rPr>
          <w:rFonts w:hint="eastAsia"/>
          <w:b/>
          <w:color w:val="000000" w:themeColor="text1"/>
        </w:rPr>
        <w:t>）</w:t>
      </w:r>
    </w:p>
    <w:p w:rsidR="00AF2A47" w:rsidRPr="00D31408" w:rsidRDefault="00AF2A47" w:rsidP="00AF2A47">
      <w:pPr>
        <w:spacing w:line="360" w:lineRule="auto"/>
        <w:jc w:val="center"/>
        <w:rPr>
          <w:rFonts w:ascii="黑体" w:eastAsia="黑体" w:hAnsi="黑体"/>
          <w:b/>
          <w:color w:val="000000" w:themeColor="text1"/>
          <w:szCs w:val="21"/>
        </w:rPr>
      </w:pPr>
      <w:r w:rsidRPr="00D31408">
        <w:rPr>
          <w:rFonts w:ascii="黑体" w:eastAsia="黑体" w:hAnsi="黑体" w:hint="eastAsia"/>
          <w:b/>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b/>
          <w:color w:val="000000" w:themeColor="text1"/>
          <w:szCs w:val="21"/>
        </w:rPr>
        <w:t>）</w:t>
      </w:r>
    </w:p>
    <w:p w:rsidR="00AF2A47" w:rsidRPr="00D31408" w:rsidRDefault="00AF2A47" w:rsidP="00AF2A47">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AF2A47" w:rsidRPr="00D31408" w:rsidRDefault="00AF2A47" w:rsidP="00AF2A47">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AF2A47" w:rsidRPr="00D31408" w:rsidRDefault="00AF2A47" w:rsidP="00AF2A47">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试以普通高中学校的教科书为基础，结合高中</w:t>
      </w:r>
      <w:r w:rsidRPr="00D31408">
        <w:rPr>
          <w:rFonts w:ascii="Arial" w:eastAsia="宋体" w:hAnsi="Arial" w:cs="Arial" w:hint="eastAsia"/>
          <w:b/>
          <w:color w:val="000000" w:themeColor="text1"/>
          <w:kern w:val="0"/>
          <w:sz w:val="24"/>
          <w:szCs w:val="24"/>
        </w:rPr>
        <w:t>阶段</w:t>
      </w:r>
      <w:r w:rsidRPr="00D31408">
        <w:rPr>
          <w:rFonts w:ascii="Arial" w:eastAsia="宋体" w:hAnsi="Arial" w:cs="Arial"/>
          <w:b/>
          <w:color w:val="000000" w:themeColor="text1"/>
          <w:kern w:val="0"/>
          <w:sz w:val="24"/>
          <w:szCs w:val="24"/>
        </w:rPr>
        <w:t>的学习</w:t>
      </w:r>
      <w:r w:rsidRPr="00D31408">
        <w:rPr>
          <w:rFonts w:ascii="Arial" w:eastAsia="宋体" w:hAnsi="Arial" w:cs="Arial" w:hint="eastAsia"/>
          <w:b/>
          <w:color w:val="000000" w:themeColor="text1"/>
          <w:kern w:val="0"/>
          <w:sz w:val="24"/>
          <w:szCs w:val="24"/>
        </w:rPr>
        <w:t>内容</w:t>
      </w:r>
      <w:r w:rsidRPr="00D31408">
        <w:rPr>
          <w:rFonts w:ascii="Arial" w:eastAsia="宋体" w:hAnsi="Arial" w:cs="Arial"/>
          <w:b/>
          <w:color w:val="000000" w:themeColor="text1"/>
          <w:kern w:val="0"/>
          <w:sz w:val="24"/>
          <w:szCs w:val="24"/>
        </w:rPr>
        <w:t>及</w:t>
      </w:r>
      <w:r w:rsidRPr="00D31408">
        <w:rPr>
          <w:rFonts w:ascii="Arial" w:eastAsia="宋体" w:hAnsi="Arial" w:cs="Arial" w:hint="eastAsia"/>
          <w:b/>
          <w:color w:val="000000" w:themeColor="text1"/>
          <w:kern w:val="0"/>
          <w:sz w:val="24"/>
          <w:szCs w:val="24"/>
        </w:rPr>
        <w:t>从事药品制造所需基本技能要求</w:t>
      </w:r>
      <w:r w:rsidRPr="00D31408">
        <w:rPr>
          <w:rFonts w:ascii="Arial" w:eastAsia="宋体" w:hAnsi="Arial" w:cs="Arial"/>
          <w:b/>
          <w:color w:val="000000" w:themeColor="text1"/>
          <w:kern w:val="0"/>
          <w:sz w:val="24"/>
          <w:szCs w:val="24"/>
        </w:rPr>
        <w:t>，</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AF2A47" w:rsidRPr="00D31408" w:rsidRDefault="00AF2A47" w:rsidP="00AF2A47">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AF2A47"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F2A47" w:rsidRPr="00D31408" w:rsidRDefault="00AF2A47"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AF2A47" w:rsidRPr="00D31408" w:rsidRDefault="00AF2A47"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AF2A47" w:rsidRPr="00D31408" w:rsidRDefault="00AF2A47"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AF2A47" w:rsidRPr="00D31408" w:rsidRDefault="00AF2A47"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AF2A47" w:rsidRPr="00D31408" w:rsidRDefault="00AF2A47"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AF2A47"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AF2A47" w:rsidRPr="00D31408" w:rsidRDefault="00AF2A47"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AF2A47" w:rsidRPr="00D31408" w:rsidRDefault="00AF2A47"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AF2A47" w:rsidRPr="00D31408" w:rsidRDefault="00AF2A47"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AF2A47" w:rsidRPr="00D31408" w:rsidRDefault="00AF2A47"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AF2A47" w:rsidRPr="00D31408" w:rsidRDefault="00AF2A47"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AF2A47"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AF2A47" w:rsidRPr="00D31408" w:rsidRDefault="00AF2A47"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AF2A47" w:rsidRPr="00D31408" w:rsidRDefault="00AF2A47"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AF2A47" w:rsidRPr="00D31408" w:rsidRDefault="00AF2A47"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AF2A47" w:rsidRPr="00D31408" w:rsidRDefault="00AF2A47"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AF2A47" w:rsidRPr="00D31408" w:rsidRDefault="00AF2A47"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AF2A47"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AF2A47" w:rsidRPr="00D31408" w:rsidRDefault="00AF2A47"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AF2A47" w:rsidRPr="00D31408" w:rsidRDefault="00AF2A47"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hideMark/>
          </w:tcPr>
          <w:p w:rsidR="00AF2A47" w:rsidRPr="00D31408" w:rsidRDefault="00AF2A47"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AF2A47" w:rsidRPr="00D31408" w:rsidRDefault="00AF2A47"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AF2A47" w:rsidRPr="00D31408" w:rsidRDefault="00AF2A47"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AF2A47"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AF2A47" w:rsidRPr="00D31408" w:rsidRDefault="00AF2A47"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AF2A47" w:rsidRPr="00D31408" w:rsidRDefault="00AF2A47"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AF2A47" w:rsidRPr="00D31408" w:rsidRDefault="00AF2A47" w:rsidP="00AF2A47">
      <w:pPr>
        <w:widowControl/>
        <w:shd w:val="clear" w:color="auto" w:fill="FFFFFF"/>
        <w:spacing w:line="360" w:lineRule="auto"/>
        <w:jc w:val="center"/>
        <w:rPr>
          <w:rFonts w:ascii="Arial" w:eastAsia="宋体" w:hAnsi="Arial" w:cs="Arial"/>
          <w:b/>
          <w:bCs/>
          <w:color w:val="000000" w:themeColor="text1"/>
          <w:kern w:val="0"/>
          <w:sz w:val="24"/>
          <w:szCs w:val="24"/>
        </w:rPr>
      </w:pPr>
    </w:p>
    <w:p w:rsidR="00AF2A47" w:rsidRPr="00D31408" w:rsidRDefault="00AF2A47" w:rsidP="00AF2A47">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AF2A47" w:rsidRPr="00D31408" w:rsidRDefault="00AF2A47" w:rsidP="00AF2A47">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AF2A47" w:rsidRPr="00D31408" w:rsidRDefault="00AF2A47" w:rsidP="00AF2A47">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AF2A47" w:rsidRPr="00D31408" w:rsidRDefault="00AF2A47" w:rsidP="00AF2A47">
      <w:pPr>
        <w:spacing w:line="360" w:lineRule="auto"/>
        <w:rPr>
          <w:rFonts w:ascii="宋体" w:hAnsi="宋体" w:cs="宋体"/>
          <w:color w:val="000000" w:themeColor="text1"/>
          <w:sz w:val="24"/>
        </w:rPr>
      </w:pPr>
      <w:r w:rsidRPr="00D31408">
        <w:rPr>
          <w:rFonts w:ascii="宋体" w:hAnsi="宋体" w:cs="宋体" w:hint="eastAsia"/>
          <w:color w:val="000000" w:themeColor="text1"/>
          <w:sz w:val="24"/>
        </w:rPr>
        <w:lastRenderedPageBreak/>
        <w:t xml:space="preserve">    3.面试开始前，由工作人员向考生宣读《考试注意事项》。开考后，由工作人员将考生先后引导到主考室进行面试。</w:t>
      </w:r>
    </w:p>
    <w:p w:rsidR="00AF2A47" w:rsidRPr="00D31408" w:rsidRDefault="00AF2A47" w:rsidP="00AF2A47">
      <w:pPr>
        <w:widowControl/>
        <w:shd w:val="clear" w:color="auto" w:fill="FFFFFF"/>
        <w:spacing w:line="360" w:lineRule="auto"/>
        <w:jc w:val="center"/>
        <w:rPr>
          <w:rFonts w:ascii="Arial" w:eastAsia="宋体" w:hAnsi="Arial" w:cs="Arial"/>
          <w:b/>
          <w:bCs/>
          <w:color w:val="000000" w:themeColor="text1"/>
          <w:kern w:val="0"/>
          <w:sz w:val="24"/>
          <w:szCs w:val="24"/>
        </w:rPr>
      </w:pPr>
    </w:p>
    <w:p w:rsidR="00AF2A47" w:rsidRPr="00D31408" w:rsidRDefault="00AF2A47" w:rsidP="00AF2A47">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p>
    <w:p w:rsidR="00AF2A47" w:rsidRPr="00D31408" w:rsidRDefault="00AF2A47" w:rsidP="00AF2A47">
      <w:pPr>
        <w:spacing w:line="360" w:lineRule="auto"/>
        <w:ind w:firstLineChars="200" w:firstLine="482"/>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b/>
          <w:color w:val="000000" w:themeColor="text1"/>
          <w:kern w:val="0"/>
          <w:sz w:val="24"/>
          <w:szCs w:val="24"/>
        </w:rPr>
        <w:t> </w:t>
      </w:r>
      <w:r w:rsidRPr="00D31408">
        <w:rPr>
          <w:rFonts w:ascii="Arial" w:eastAsia="宋体" w:hAnsi="Arial" w:cs="Arial"/>
          <w:b/>
          <w:color w:val="000000" w:themeColor="text1"/>
          <w:kern w:val="0"/>
          <w:sz w:val="24"/>
          <w:szCs w:val="24"/>
        </w:rPr>
        <w:t>请朗</w:t>
      </w:r>
      <w:r w:rsidRPr="00D31408">
        <w:rPr>
          <w:rFonts w:ascii="Arial" w:eastAsia="宋体" w:hAnsi="Arial" w:cs="Arial" w:hint="eastAsia"/>
          <w:b/>
          <w:color w:val="000000" w:themeColor="text1"/>
          <w:kern w:val="0"/>
          <w:sz w:val="24"/>
          <w:szCs w:val="24"/>
        </w:rPr>
        <w:t>短文</w:t>
      </w:r>
      <w:r w:rsidRPr="00D31408">
        <w:rPr>
          <w:rFonts w:ascii="Arial" w:eastAsia="宋体" w:hAnsi="Arial" w:cs="Arial" w:hint="eastAsia"/>
          <w:b/>
          <w:color w:val="000000" w:themeColor="text1"/>
          <w:kern w:val="0"/>
          <w:sz w:val="24"/>
          <w:szCs w:val="24"/>
        </w:rPr>
        <w:t>:</w:t>
      </w:r>
      <w:r w:rsidRPr="00D31408">
        <w:rPr>
          <w:rFonts w:hint="eastAsia"/>
          <w:color w:val="000000" w:themeColor="text1"/>
          <w:sz w:val="24"/>
          <w:szCs w:val="24"/>
        </w:rPr>
        <w:t>李克强就电影《我不是药神》引热议作批示（节选）</w:t>
      </w:r>
    </w:p>
    <w:p w:rsidR="00AF2A47" w:rsidRPr="00D31408" w:rsidRDefault="00AF2A47" w:rsidP="00AF2A47">
      <w:pPr>
        <w:widowControl/>
        <w:shd w:val="clear" w:color="auto" w:fill="FFFFFF"/>
        <w:spacing w:line="360" w:lineRule="auto"/>
        <w:ind w:firstLine="420"/>
        <w:jc w:val="center"/>
        <w:rPr>
          <w:color w:val="000000" w:themeColor="text1"/>
          <w:sz w:val="24"/>
          <w:szCs w:val="24"/>
        </w:rPr>
      </w:pPr>
      <w:r w:rsidRPr="00D31408">
        <w:rPr>
          <w:rFonts w:hint="eastAsia"/>
          <w:color w:val="000000" w:themeColor="text1"/>
          <w:sz w:val="24"/>
          <w:szCs w:val="24"/>
        </w:rPr>
        <w:t>李克强就电影《我不是药神》引热议作批示（节选）</w:t>
      </w:r>
    </w:p>
    <w:p w:rsidR="00AF2A47" w:rsidRPr="00D31408" w:rsidRDefault="00AF2A47" w:rsidP="00AF2A47">
      <w:pPr>
        <w:widowControl/>
        <w:shd w:val="clear" w:color="auto" w:fill="FFFFFF"/>
        <w:spacing w:line="360" w:lineRule="auto"/>
        <w:ind w:firstLine="420"/>
        <w:jc w:val="center"/>
        <w:rPr>
          <w:color w:val="000000" w:themeColor="text1"/>
          <w:sz w:val="24"/>
          <w:szCs w:val="24"/>
        </w:rPr>
      </w:pPr>
      <w:r w:rsidRPr="00D31408">
        <w:rPr>
          <w:rFonts w:hint="eastAsia"/>
          <w:color w:val="000000" w:themeColor="text1"/>
          <w:sz w:val="24"/>
          <w:szCs w:val="24"/>
          <w:shd w:val="clear" w:color="auto" w:fill="FFFFFF"/>
        </w:rPr>
        <w:t>-------</w:t>
      </w:r>
      <w:r w:rsidRPr="00D31408">
        <w:rPr>
          <w:rFonts w:hint="eastAsia"/>
          <w:color w:val="000000" w:themeColor="text1"/>
          <w:sz w:val="24"/>
          <w:szCs w:val="24"/>
          <w:shd w:val="clear" w:color="auto" w:fill="FFFFFF"/>
        </w:rPr>
        <w:t>来源：</w:t>
      </w:r>
      <w:r w:rsidRPr="00D31408">
        <w:rPr>
          <w:rFonts w:hint="eastAsia"/>
          <w:color w:val="000000" w:themeColor="text1"/>
          <w:sz w:val="24"/>
          <w:szCs w:val="24"/>
          <w:shd w:val="clear" w:color="auto" w:fill="FFFFFF"/>
        </w:rPr>
        <w:t xml:space="preserve"> </w:t>
      </w:r>
      <w:r w:rsidRPr="00D31408">
        <w:rPr>
          <w:rFonts w:hint="eastAsia"/>
          <w:color w:val="000000" w:themeColor="text1"/>
          <w:sz w:val="24"/>
          <w:szCs w:val="24"/>
          <w:shd w:val="clear" w:color="auto" w:fill="FFFFFF"/>
        </w:rPr>
        <w:t>中国政府网</w:t>
      </w:r>
    </w:p>
    <w:p w:rsidR="00AF2A47" w:rsidRPr="00D31408" w:rsidRDefault="00AF2A47" w:rsidP="00AF2A47">
      <w:pPr>
        <w:pStyle w:val="a5"/>
        <w:shd w:val="clear" w:color="auto" w:fill="FFFFFF"/>
        <w:spacing w:before="0" w:beforeAutospacing="0" w:after="0" w:afterAutospacing="0" w:line="360" w:lineRule="auto"/>
        <w:ind w:firstLine="482"/>
        <w:rPr>
          <w:color w:val="000000" w:themeColor="text1"/>
        </w:rPr>
      </w:pPr>
      <w:r w:rsidRPr="00D31408">
        <w:rPr>
          <w:rFonts w:hint="eastAsia"/>
          <w:color w:val="000000" w:themeColor="text1"/>
        </w:rPr>
        <w:t>李克强总理近日就电影《我不是药神》引发舆论热议作出批示，要求有关部门加快落实抗癌药降价保供等相关措施。</w:t>
      </w:r>
    </w:p>
    <w:p w:rsidR="00AF2A47" w:rsidRPr="00D31408" w:rsidRDefault="00AF2A47" w:rsidP="00AF2A47">
      <w:pPr>
        <w:pStyle w:val="a5"/>
        <w:shd w:val="clear" w:color="auto" w:fill="FFFFFF"/>
        <w:spacing w:before="0" w:beforeAutospacing="0" w:after="0" w:afterAutospacing="0" w:line="360" w:lineRule="auto"/>
        <w:ind w:firstLine="482"/>
        <w:rPr>
          <w:color w:val="000000" w:themeColor="text1"/>
        </w:rPr>
      </w:pPr>
      <w:r w:rsidRPr="00D31408">
        <w:rPr>
          <w:rFonts w:hint="eastAsia"/>
          <w:color w:val="000000" w:themeColor="text1"/>
        </w:rPr>
        <w:t>“癌症等重病患者关于进口‘救命药’买不起、拖不起、买不到等诉求，突出反映了推进解决药品降价保供问题的紧迫性。”总理在批示中指出，“国务院常务会确定的相关措施要抓紧落实，能加快的要尽可能加快。”</w:t>
      </w:r>
    </w:p>
    <w:p w:rsidR="00AF2A47" w:rsidRPr="00D31408" w:rsidRDefault="00AF2A47" w:rsidP="00AF2A47">
      <w:pPr>
        <w:pStyle w:val="a5"/>
        <w:shd w:val="clear" w:color="auto" w:fill="FFFFFF"/>
        <w:spacing w:before="0" w:beforeAutospacing="0" w:after="0" w:afterAutospacing="0" w:line="360" w:lineRule="auto"/>
        <w:ind w:firstLine="482"/>
        <w:rPr>
          <w:color w:val="000000" w:themeColor="text1"/>
        </w:rPr>
      </w:pPr>
      <w:r w:rsidRPr="00D31408">
        <w:rPr>
          <w:rFonts w:hint="eastAsia"/>
          <w:color w:val="000000" w:themeColor="text1"/>
        </w:rPr>
        <w:t>李克强明确要求这项工作要进一步“提速”：“对癌症病人来说，时间就是生命！”在影片《我不是药神》讲述患病群体用药难题，引发舆论广泛关注讨论后，李克强特别批示有关部门，要“急群众所急”，推动相关措施加快落到实处。</w:t>
      </w:r>
    </w:p>
    <w:p w:rsidR="00AF2A47" w:rsidRPr="00D31408" w:rsidRDefault="00AF2A47" w:rsidP="00AF2A47">
      <w:pPr>
        <w:widowControl/>
        <w:shd w:val="clear" w:color="auto" w:fill="FFFFFF"/>
        <w:spacing w:line="360" w:lineRule="auto"/>
        <w:ind w:firstLine="420"/>
        <w:jc w:val="left"/>
        <w:rPr>
          <w:rFonts w:ascii="Arial" w:eastAsia="宋体" w:hAnsi="Arial" w:cs="Arial"/>
          <w:b/>
          <w:color w:val="000000" w:themeColor="text1"/>
          <w:kern w:val="0"/>
          <w:sz w:val="24"/>
          <w:szCs w:val="24"/>
        </w:rPr>
      </w:pPr>
    </w:p>
    <w:p w:rsidR="00AF2A47" w:rsidRPr="00D31408" w:rsidRDefault="00AF2A47" w:rsidP="00AF2A47">
      <w:pPr>
        <w:widowControl/>
        <w:shd w:val="clear" w:color="auto" w:fill="FFFFFF"/>
        <w:spacing w:line="360" w:lineRule="auto"/>
        <w:ind w:firstLineChars="200" w:firstLine="482"/>
        <w:jc w:val="left"/>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hint="eastAsia"/>
          <w:bCs/>
          <w:color w:val="000000" w:themeColor="text1"/>
          <w:kern w:val="0"/>
          <w:sz w:val="24"/>
          <w:szCs w:val="24"/>
        </w:rPr>
        <w:t>谈谈你对药品的理解。</w:t>
      </w:r>
    </w:p>
    <w:p w:rsidR="00AF2A47" w:rsidRPr="00D31408" w:rsidRDefault="00AF2A47" w:rsidP="00AF2A47">
      <w:pPr>
        <w:widowControl/>
        <w:shd w:val="clear" w:color="auto" w:fill="FFFFFF"/>
        <w:spacing w:line="360" w:lineRule="auto"/>
        <w:ind w:firstLineChars="200" w:firstLine="482"/>
        <w:jc w:val="left"/>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hint="eastAsia"/>
          <w:bCs/>
          <w:color w:val="000000" w:themeColor="text1"/>
          <w:kern w:val="0"/>
          <w:sz w:val="24"/>
          <w:szCs w:val="24"/>
        </w:rPr>
        <w:t>谈谈药品在加强保障、改善民生方面的作用。</w:t>
      </w:r>
    </w:p>
    <w:p w:rsidR="00AF2A47" w:rsidRPr="00D31408" w:rsidRDefault="00AF2A47" w:rsidP="00AF2A47">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宋体" w:eastAsia="宋体" w:hAnsi="宋体" w:cs="宋体" w:hint="eastAsia"/>
          <w:color w:val="000000" w:themeColor="text1"/>
          <w:kern w:val="0"/>
          <w:sz w:val="24"/>
          <w:szCs w:val="24"/>
        </w:rPr>
        <w:t> </w:t>
      </w:r>
      <w:r w:rsidRPr="00D31408">
        <w:rPr>
          <w:rFonts w:ascii="黑体" w:eastAsia="黑体" w:hAnsi="黑体" w:cs="Arial" w:hint="eastAsia"/>
          <w:b/>
          <w:bCs/>
          <w:color w:val="000000" w:themeColor="text1"/>
          <w:kern w:val="0"/>
          <w:sz w:val="28"/>
          <w:szCs w:val="40"/>
        </w:rPr>
        <w:t>二、笔试部分</w:t>
      </w: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AF2A47" w:rsidRPr="00D31408" w:rsidRDefault="00AF2A47" w:rsidP="00AF2A47">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2.</w:t>
      </w:r>
      <w:r w:rsidRPr="00D31408">
        <w:rPr>
          <w:rFonts w:ascii="Arial" w:eastAsia="宋体" w:hAnsi="Arial" w:cs="Arial" w:hint="eastAsia"/>
          <w:color w:val="000000" w:themeColor="text1"/>
          <w:kern w:val="0"/>
          <w:sz w:val="24"/>
          <w:szCs w:val="24"/>
        </w:rPr>
        <w:t>国家性质和国家职能关系</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民主与社会主义的关系</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AF2A47" w:rsidRPr="00D31408" w:rsidRDefault="00AF2A47" w:rsidP="00AF2A47">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四、掌握职业道德的涵义及基本要求，并会灵活运用。</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AF2A47" w:rsidRPr="00D31408" w:rsidRDefault="00AF2A47" w:rsidP="00AF2A47">
      <w:pPr>
        <w:widowControl/>
        <w:shd w:val="clear" w:color="auto" w:fill="FFFFFF"/>
        <w:spacing w:line="360" w:lineRule="auto"/>
        <w:rPr>
          <w:rFonts w:ascii="Arial" w:eastAsia="宋体" w:hAnsi="Arial" w:cs="Arial"/>
          <w:color w:val="000000" w:themeColor="text1"/>
          <w:szCs w:val="21"/>
          <w:shd w:val="clear" w:color="auto" w:fill="FFFFFF"/>
        </w:rPr>
      </w:pPr>
    </w:p>
    <w:p w:rsidR="00AF2A47" w:rsidRPr="00D31408" w:rsidRDefault="00AF2A47" w:rsidP="00AF2A47">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AF2A47" w:rsidRPr="00D31408" w:rsidRDefault="00AF2A47" w:rsidP="00AF2A47">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AF2A47" w:rsidRPr="00D31408" w:rsidRDefault="00AF2A47" w:rsidP="00AF2A47">
      <w:pPr>
        <w:widowControl/>
        <w:numPr>
          <w:ilvl w:val="0"/>
          <w:numId w:val="1"/>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AF2A47" w:rsidRPr="00D31408" w:rsidRDefault="00AF2A47" w:rsidP="00AF2A47">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7"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例三：判断题</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8"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AF2A47" w:rsidRPr="00D31408" w:rsidRDefault="00AF2A47" w:rsidP="00AF2A47">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AF2A47" w:rsidRPr="00D31408" w:rsidRDefault="00AF2A47" w:rsidP="00AF2A47">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AF2A47" w:rsidRPr="00D31408" w:rsidRDefault="00AF2A47" w:rsidP="00AF2A47">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395DC8" w:rsidRDefault="00395DC8"/>
    <w:sectPr w:rsidR="00395D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DC8" w:rsidRDefault="00395DC8" w:rsidP="00AF2A47">
      <w:r>
        <w:separator/>
      </w:r>
    </w:p>
  </w:endnote>
  <w:endnote w:type="continuationSeparator" w:id="1">
    <w:p w:rsidR="00395DC8" w:rsidRDefault="00395DC8" w:rsidP="00AF2A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DC8" w:rsidRDefault="00395DC8" w:rsidP="00AF2A47">
      <w:r>
        <w:separator/>
      </w:r>
    </w:p>
  </w:footnote>
  <w:footnote w:type="continuationSeparator" w:id="1">
    <w:p w:rsidR="00395DC8" w:rsidRDefault="00395DC8" w:rsidP="00AF2A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2A47"/>
    <w:rsid w:val="00395DC8"/>
    <w:rsid w:val="00AF2A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A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2A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2A47"/>
    <w:rPr>
      <w:sz w:val="18"/>
      <w:szCs w:val="18"/>
    </w:rPr>
  </w:style>
  <w:style w:type="paragraph" w:styleId="a4">
    <w:name w:val="footer"/>
    <w:basedOn w:val="a"/>
    <w:link w:val="Char0"/>
    <w:uiPriority w:val="99"/>
    <w:semiHidden/>
    <w:unhideWhenUsed/>
    <w:rsid w:val="00AF2A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2A47"/>
    <w:rPr>
      <w:sz w:val="18"/>
      <w:szCs w:val="18"/>
    </w:rPr>
  </w:style>
  <w:style w:type="paragraph" w:styleId="a5">
    <w:name w:val="Normal (Web)"/>
    <w:basedOn w:val="a"/>
    <w:unhideWhenUsed/>
    <w:rsid w:val="00AF2A4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F%A4%E4%BB%A3&amp;ie=utf-8&amp;src=internal_wenda_recommend_textn" TargetMode="External"/><Relationship Id="rId3" Type="http://schemas.openxmlformats.org/officeDocument/2006/relationships/settings" Target="settings.xml"/><Relationship Id="rId7" Type="http://schemas.openxmlformats.org/officeDocument/2006/relationships/hyperlink" Target="https://baike.so.com/doc/6649736-68635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567</Words>
  <Characters>3235</Characters>
  <Application>Microsoft Office Word</Application>
  <DocSecurity>0</DocSecurity>
  <Lines>26</Lines>
  <Paragraphs>7</Paragraphs>
  <ScaleCrop>false</ScaleCrop>
  <Company>Lenovo</Company>
  <LinksUpToDate>false</LinksUpToDate>
  <CharactersWithSpaces>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2019-03-17T01:24:00Z</dcterms:created>
  <dcterms:modified xsi:type="dcterms:W3CDTF">2019-03-17T01:25:00Z</dcterms:modified>
</cp:coreProperties>
</file>