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7BF" w:rsidRPr="00D31408" w:rsidRDefault="00A347BF" w:rsidP="00A347BF">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护理、助产专业</w:t>
      </w:r>
    </w:p>
    <w:p w:rsidR="00A347BF" w:rsidRPr="00D31408" w:rsidRDefault="00A347BF" w:rsidP="00A347BF">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A347BF" w:rsidRPr="00D31408" w:rsidRDefault="00A347BF" w:rsidP="00A347BF">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A347BF" w:rsidRPr="00D31408" w:rsidRDefault="00A347BF" w:rsidP="00A347BF">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A347BF" w:rsidRPr="00D31408" w:rsidRDefault="00A347BF" w:rsidP="00A347BF">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A347BF" w:rsidRPr="00D31408" w:rsidRDefault="00A347BF" w:rsidP="00A347BF">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5</w:t>
      </w:r>
      <w:r w:rsidRPr="00D31408">
        <w:rPr>
          <w:rFonts w:ascii="Arial" w:eastAsia="宋体" w:hAnsi="Arial" w:cs="Arial"/>
          <w:color w:val="000000" w:themeColor="text1"/>
          <w:kern w:val="0"/>
          <w:sz w:val="24"/>
          <w:szCs w:val="24"/>
        </w:rPr>
        <w:t>、看待问题的立场是否客观。</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A347BF" w:rsidRPr="00D31408" w:rsidRDefault="00A347BF" w:rsidP="00A347BF">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A347BF"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347BF" w:rsidRPr="00D31408" w:rsidRDefault="00A347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A347BF" w:rsidRPr="00D31408" w:rsidRDefault="00A347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A347BF" w:rsidRPr="00D31408" w:rsidRDefault="00A347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A347BF" w:rsidRPr="00D31408" w:rsidRDefault="00A347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A347BF" w:rsidRPr="00D31408" w:rsidRDefault="00A347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A347BF"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A347BF" w:rsidRPr="00D31408" w:rsidRDefault="00A347BF"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A347BF" w:rsidRPr="00D31408" w:rsidRDefault="00A347BF"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A347BF"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A347BF" w:rsidRPr="00D31408" w:rsidRDefault="00A347BF"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A347BF" w:rsidRPr="00D31408" w:rsidRDefault="00A347BF"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A347BF" w:rsidRPr="00D31408" w:rsidRDefault="00A347BF"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A347BF" w:rsidRPr="00D31408" w:rsidRDefault="00A347BF"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A347BF" w:rsidRPr="00D31408" w:rsidRDefault="00A347BF"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A347BF"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A347BF" w:rsidRPr="00D31408" w:rsidRDefault="00A347BF"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A347BF" w:rsidRPr="00D31408" w:rsidRDefault="00A347BF"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A347BF" w:rsidRPr="00D31408" w:rsidRDefault="00A347BF"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2</w:t>
            </w:r>
            <w:r w:rsidRPr="00D31408">
              <w:rPr>
                <w:rFonts w:hint="eastAsia"/>
                <w:color w:val="000000" w:themeColor="text1"/>
              </w:rPr>
              <w:t>道题，挑选</w:t>
            </w:r>
            <w:r w:rsidRPr="00D31408">
              <w:rPr>
                <w:rFonts w:hint="eastAsia"/>
                <w:color w:val="000000" w:themeColor="text1"/>
              </w:rPr>
              <w:t>1</w:t>
            </w:r>
            <w:r w:rsidRPr="00D31408">
              <w:rPr>
                <w:rFonts w:hint="eastAsia"/>
                <w:color w:val="000000" w:themeColor="text1"/>
              </w:rPr>
              <w:t>个问题进行回答，主要考查考生的专业兴趣、专业知识储备、专业能力水平、考生的语言表达沟通能力。</w:t>
            </w:r>
          </w:p>
        </w:tc>
      </w:tr>
      <w:tr w:rsidR="00A347BF"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A347BF" w:rsidRPr="00D31408" w:rsidRDefault="00A347BF"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A347BF" w:rsidRPr="00D31408" w:rsidRDefault="00A347BF"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A347BF" w:rsidRPr="00D31408" w:rsidRDefault="00A347BF" w:rsidP="00A347BF">
      <w:pPr>
        <w:widowControl/>
        <w:shd w:val="clear" w:color="auto" w:fill="FFFFFF"/>
        <w:spacing w:line="360" w:lineRule="auto"/>
        <w:jc w:val="center"/>
        <w:rPr>
          <w:rFonts w:ascii="Arial" w:eastAsia="宋体" w:hAnsi="Arial" w:cs="Arial"/>
          <w:b/>
          <w:bCs/>
          <w:color w:val="000000" w:themeColor="text1"/>
          <w:kern w:val="0"/>
          <w:sz w:val="24"/>
          <w:szCs w:val="24"/>
        </w:rPr>
      </w:pPr>
    </w:p>
    <w:p w:rsidR="00A347BF" w:rsidRPr="00D31408" w:rsidRDefault="00A347BF" w:rsidP="00A347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A347BF" w:rsidRPr="00D31408" w:rsidRDefault="00A347BF" w:rsidP="00A347BF">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A347BF" w:rsidRPr="00D31408" w:rsidRDefault="00A347BF" w:rsidP="00A347BF">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A347BF" w:rsidRPr="00D31408" w:rsidRDefault="00A347BF" w:rsidP="00A347BF">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3.面试开始前，由工作人员向考生宣读《考试注意事项》。开考后，由工作人员将考生先后引导到主考室进行面试。</w:t>
      </w:r>
    </w:p>
    <w:p w:rsidR="00A347BF" w:rsidRPr="00D31408" w:rsidRDefault="00A347BF" w:rsidP="00A347BF">
      <w:pPr>
        <w:widowControl/>
        <w:shd w:val="clear" w:color="auto" w:fill="FFFFFF"/>
        <w:spacing w:line="360" w:lineRule="auto"/>
        <w:jc w:val="center"/>
        <w:rPr>
          <w:rFonts w:ascii="Arial" w:eastAsia="宋体" w:hAnsi="Arial" w:cs="Arial"/>
          <w:b/>
          <w:bCs/>
          <w:color w:val="000000" w:themeColor="text1"/>
          <w:kern w:val="0"/>
          <w:sz w:val="24"/>
          <w:szCs w:val="24"/>
        </w:rPr>
      </w:pPr>
    </w:p>
    <w:p w:rsidR="00A347BF" w:rsidRPr="00D31408" w:rsidRDefault="00A347BF" w:rsidP="00A347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p>
    <w:p w:rsidR="00A347BF" w:rsidRPr="00D31408" w:rsidRDefault="00A347BF" w:rsidP="00A347BF">
      <w:pPr>
        <w:widowControl/>
        <w:shd w:val="clear" w:color="auto" w:fill="FFFFFF"/>
        <w:spacing w:line="360" w:lineRule="auto"/>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b/>
          <w:color w:val="000000" w:themeColor="text1"/>
          <w:kern w:val="0"/>
          <w:sz w:val="24"/>
          <w:szCs w:val="24"/>
        </w:rPr>
        <w:t> </w:t>
      </w:r>
      <w:r w:rsidRPr="00D31408">
        <w:rPr>
          <w:rFonts w:ascii="Arial" w:eastAsia="宋体" w:hAnsi="Arial" w:cs="Arial" w:hint="eastAsia"/>
          <w:b/>
          <w:color w:val="000000" w:themeColor="text1"/>
          <w:kern w:val="0"/>
          <w:sz w:val="24"/>
          <w:szCs w:val="24"/>
        </w:rPr>
        <w:t>你为什么选择护理专业？</w:t>
      </w:r>
      <w:r w:rsidRPr="00D31408">
        <w:rPr>
          <w:rFonts w:ascii="Arial" w:eastAsia="宋体" w:hAnsi="Arial" w:cs="Arial" w:hint="eastAsia"/>
          <w:b/>
          <w:color w:val="000000" w:themeColor="text1"/>
          <w:kern w:val="0"/>
          <w:sz w:val="24"/>
          <w:szCs w:val="24"/>
        </w:rPr>
        <w:t xml:space="preserve"> </w:t>
      </w:r>
    </w:p>
    <w:p w:rsidR="00A347BF" w:rsidRPr="00D31408" w:rsidRDefault="00A347BF" w:rsidP="00A347BF">
      <w:pPr>
        <w:widowControl/>
        <w:shd w:val="clear" w:color="auto" w:fill="FFFFFF"/>
        <w:spacing w:line="360" w:lineRule="auto"/>
        <w:jc w:val="left"/>
        <w:rPr>
          <w:rFonts w:ascii="黑体" w:eastAsia="黑体" w:hAnsi="黑体" w:cs="Arial"/>
          <w:b/>
          <w:color w:val="000000" w:themeColor="text1"/>
          <w:kern w:val="0"/>
          <w:sz w:val="24"/>
          <w:szCs w:val="24"/>
        </w:rPr>
      </w:pPr>
      <w:r w:rsidRPr="00D31408">
        <w:rPr>
          <w:rFonts w:ascii="Arial" w:eastAsia="宋体" w:hAnsi="Arial" w:cs="Arial" w:hint="eastAsia"/>
          <w:b/>
          <w:color w:val="000000" w:themeColor="text1"/>
          <w:kern w:val="0"/>
          <w:sz w:val="24"/>
          <w:szCs w:val="24"/>
        </w:rPr>
        <w:t>例二：谈谈你对护理专业的了解？</w:t>
      </w:r>
    </w:p>
    <w:p w:rsidR="00A347BF" w:rsidRPr="00D31408" w:rsidRDefault="00A347BF" w:rsidP="00A347BF">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A347BF" w:rsidRPr="00D31408" w:rsidRDefault="00A347BF" w:rsidP="00A347BF">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A347BF" w:rsidRPr="00D31408" w:rsidRDefault="00A347BF" w:rsidP="00A347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七、考察学生综合分析能力。</w:t>
      </w:r>
    </w:p>
    <w:p w:rsidR="00A347BF" w:rsidRPr="00D31408" w:rsidRDefault="00A347BF" w:rsidP="00A347BF">
      <w:pPr>
        <w:widowControl/>
        <w:shd w:val="clear" w:color="auto" w:fill="FFFFFF"/>
        <w:spacing w:line="360" w:lineRule="auto"/>
        <w:rPr>
          <w:rFonts w:ascii="Arial" w:eastAsia="宋体" w:hAnsi="Arial" w:cs="Arial"/>
          <w:color w:val="000000" w:themeColor="text1"/>
          <w:szCs w:val="21"/>
          <w:shd w:val="clear" w:color="auto" w:fill="FFFFFF"/>
        </w:rPr>
      </w:pPr>
    </w:p>
    <w:p w:rsidR="00A347BF" w:rsidRPr="00D31408" w:rsidRDefault="00A347BF" w:rsidP="00A347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A347BF" w:rsidRPr="00D31408" w:rsidRDefault="00A347BF" w:rsidP="00A347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A347BF" w:rsidRPr="00D31408" w:rsidRDefault="00A347BF" w:rsidP="00A347BF">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A347BF" w:rsidRPr="00D31408" w:rsidRDefault="00A347BF" w:rsidP="00A347BF">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A347BF" w:rsidRPr="00D31408" w:rsidRDefault="00A347BF" w:rsidP="00A347BF">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A347BF" w:rsidRPr="00D31408" w:rsidRDefault="00A347BF" w:rsidP="00A347BF">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A347BF" w:rsidRPr="00D31408" w:rsidRDefault="00A347BF" w:rsidP="00A347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D45518" w:rsidRDefault="00A347BF" w:rsidP="00A347BF">
      <w:r w:rsidRPr="00D31408">
        <w:rPr>
          <w:rFonts w:ascii="Arial" w:eastAsia="宋体" w:hAnsi="Arial" w:cs="Arial" w:hint="eastAsia"/>
          <w:color w:val="000000" w:themeColor="text1"/>
          <w:kern w:val="0"/>
          <w:sz w:val="24"/>
          <w:szCs w:val="24"/>
        </w:rPr>
        <w:t xml:space="preserve">  A. 36.6%          B. 41.2%       C. 37.6%         D. 38.5%</w:t>
      </w:r>
    </w:p>
    <w:sectPr w:rsidR="00D455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518" w:rsidRDefault="00D45518" w:rsidP="00A347BF">
      <w:r>
        <w:separator/>
      </w:r>
    </w:p>
  </w:endnote>
  <w:endnote w:type="continuationSeparator" w:id="1">
    <w:p w:rsidR="00D45518" w:rsidRDefault="00D45518" w:rsidP="00A347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518" w:rsidRDefault="00D45518" w:rsidP="00A347BF">
      <w:r>
        <w:separator/>
      </w:r>
    </w:p>
  </w:footnote>
  <w:footnote w:type="continuationSeparator" w:id="1">
    <w:p w:rsidR="00D45518" w:rsidRDefault="00D45518" w:rsidP="00A347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47BF"/>
    <w:rsid w:val="00A347BF"/>
    <w:rsid w:val="00D455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7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4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47BF"/>
    <w:rPr>
      <w:sz w:val="18"/>
      <w:szCs w:val="18"/>
    </w:rPr>
  </w:style>
  <w:style w:type="paragraph" w:styleId="a4">
    <w:name w:val="footer"/>
    <w:basedOn w:val="a"/>
    <w:link w:val="Char0"/>
    <w:uiPriority w:val="99"/>
    <w:semiHidden/>
    <w:unhideWhenUsed/>
    <w:rsid w:val="00A347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47B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511</Words>
  <Characters>2913</Characters>
  <Application>Microsoft Office Word</Application>
  <DocSecurity>0</DocSecurity>
  <Lines>24</Lines>
  <Paragraphs>6</Paragraphs>
  <ScaleCrop>false</ScaleCrop>
  <Company>Lenovo</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2019-03-17T01:20:00Z</dcterms:created>
  <dcterms:modified xsi:type="dcterms:W3CDTF">2019-03-17T01:20:00Z</dcterms:modified>
</cp:coreProperties>
</file>