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B24" w:rsidRPr="00D31408" w:rsidRDefault="00545B24" w:rsidP="00545B2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化工专业大类</w:t>
      </w:r>
    </w:p>
    <w:p w:rsidR="00545B24" w:rsidRPr="00D31408" w:rsidRDefault="00545B24" w:rsidP="00545B24">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545B24" w:rsidRPr="00D31408" w:rsidRDefault="00545B24" w:rsidP="00545B24">
      <w:pPr>
        <w:spacing w:line="360" w:lineRule="auto"/>
        <w:ind w:left="210" w:hangingChars="100" w:hanging="210"/>
        <w:jc w:val="center"/>
        <w:rPr>
          <w:bCs/>
          <w:color w:val="000000" w:themeColor="text1"/>
        </w:rPr>
      </w:pPr>
      <w:r w:rsidRPr="00D31408">
        <w:rPr>
          <w:rFonts w:hint="eastAsia"/>
          <w:bCs/>
          <w:color w:val="000000" w:themeColor="text1"/>
        </w:rPr>
        <w:t>（应用化工技术、工业分析技术、精细化工技术、精细化工技术（化妆品生产技术方向）、化妆品经营与管理及食品营养与检测专业）</w:t>
      </w:r>
    </w:p>
    <w:p w:rsidR="00545B24" w:rsidRPr="00D31408" w:rsidRDefault="00545B24" w:rsidP="00545B24">
      <w:pPr>
        <w:spacing w:line="360" w:lineRule="auto"/>
        <w:jc w:val="center"/>
        <w:rPr>
          <w:rFonts w:ascii="黑体" w:eastAsia="黑体" w:hAnsi="黑体"/>
          <w:b/>
          <w:color w:val="000000" w:themeColor="text1"/>
          <w:sz w:val="36"/>
          <w:szCs w:val="28"/>
        </w:rPr>
      </w:pPr>
      <w:r w:rsidRPr="00D31408">
        <w:rPr>
          <w:rFonts w:hint="eastAsia"/>
          <w:bCs/>
          <w:color w:val="000000" w:themeColor="text1"/>
          <w:sz w:val="22"/>
        </w:rPr>
        <w:t>（适用于：</w:t>
      </w:r>
      <w:r w:rsidRPr="00D31408">
        <w:rPr>
          <w:rFonts w:ascii="宋体" w:hAnsi="宋体" w:cs="宋体" w:hint="eastAsia"/>
          <w:bCs/>
          <w:color w:val="000000" w:themeColor="text1"/>
          <w:kern w:val="0"/>
        </w:rPr>
        <w:t>普通高中毕业生和社会考生，包括文科、理科。</w:t>
      </w:r>
      <w:r w:rsidRPr="00D31408">
        <w:rPr>
          <w:rFonts w:hint="eastAsia"/>
          <w:bCs/>
          <w:color w:val="000000" w:themeColor="text1"/>
          <w:sz w:val="22"/>
        </w:rPr>
        <w:t>）</w:t>
      </w:r>
    </w:p>
    <w:p w:rsidR="00545B24" w:rsidRPr="00D31408" w:rsidRDefault="00545B24" w:rsidP="00545B24">
      <w:pPr>
        <w:widowControl/>
        <w:shd w:val="clear" w:color="auto" w:fill="FFFFFF"/>
        <w:spacing w:line="360" w:lineRule="auto"/>
        <w:ind w:firstLine="561"/>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545B24" w:rsidRPr="00D31408" w:rsidRDefault="00545B24" w:rsidP="00545B24">
      <w:pPr>
        <w:widowControl/>
        <w:shd w:val="clear" w:color="auto" w:fill="FFFFFF"/>
        <w:spacing w:line="360" w:lineRule="auto"/>
        <w:ind w:firstLine="561"/>
        <w:jc w:val="left"/>
        <w:rPr>
          <w:rFonts w:ascii="Arial" w:eastAsia="宋体" w:hAnsi="Arial" w:cs="Arial"/>
          <w:bCs/>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w:t>
      </w:r>
      <w:r w:rsidRPr="00D31408">
        <w:rPr>
          <w:rFonts w:ascii="Arial" w:eastAsia="宋体" w:hAnsi="Arial" w:cs="Arial" w:hint="eastAsia"/>
          <w:bCs/>
          <w:color w:val="000000" w:themeColor="text1"/>
          <w:kern w:val="0"/>
          <w:sz w:val="24"/>
          <w:szCs w:val="24"/>
        </w:rPr>
        <w:t>笔试部分主要从从职业意识、职业潜质和职业技术素养、资料处理能力、动作协调能力及身体条件等方面进行测试，测试时间</w:t>
      </w:r>
      <w:r w:rsidRPr="00D31408">
        <w:rPr>
          <w:rFonts w:ascii="Arial" w:eastAsia="宋体" w:hAnsi="Arial" w:cs="Arial" w:hint="eastAsia"/>
          <w:bCs/>
          <w:color w:val="000000" w:themeColor="text1"/>
          <w:kern w:val="0"/>
          <w:sz w:val="24"/>
          <w:szCs w:val="24"/>
        </w:rPr>
        <w:t>40</w:t>
      </w:r>
      <w:r w:rsidRPr="00D31408">
        <w:rPr>
          <w:rFonts w:ascii="Arial" w:eastAsia="宋体" w:hAnsi="Arial" w:cs="Arial" w:hint="eastAsia"/>
          <w:bCs/>
          <w:color w:val="000000" w:themeColor="text1"/>
          <w:kern w:val="0"/>
          <w:sz w:val="24"/>
          <w:szCs w:val="24"/>
        </w:rPr>
        <w:t>分钟，分值</w:t>
      </w:r>
      <w:r w:rsidRPr="00D31408">
        <w:rPr>
          <w:rFonts w:ascii="Arial" w:eastAsia="宋体" w:hAnsi="Arial" w:cs="Arial" w:hint="eastAsia"/>
          <w:bCs/>
          <w:color w:val="000000" w:themeColor="text1"/>
          <w:kern w:val="0"/>
          <w:sz w:val="24"/>
          <w:szCs w:val="24"/>
        </w:rPr>
        <w:t>300</w:t>
      </w:r>
      <w:r w:rsidRPr="00D31408">
        <w:rPr>
          <w:rFonts w:ascii="Arial" w:eastAsia="宋体" w:hAnsi="Arial" w:cs="Arial" w:hint="eastAsia"/>
          <w:bCs/>
          <w:color w:val="000000" w:themeColor="text1"/>
          <w:kern w:val="0"/>
          <w:sz w:val="24"/>
          <w:szCs w:val="24"/>
        </w:rPr>
        <w:t>分。</w:t>
      </w:r>
      <w:r w:rsidRPr="00D31408">
        <w:rPr>
          <w:rFonts w:ascii="Arial" w:eastAsia="宋体" w:hAnsi="Arial" w:cs="Arial"/>
          <w:bCs/>
          <w:color w:val="000000" w:themeColor="text1"/>
          <w:kern w:val="0"/>
          <w:sz w:val="24"/>
          <w:szCs w:val="24"/>
        </w:rPr>
        <w:t xml:space="preserve"> </w:t>
      </w:r>
    </w:p>
    <w:p w:rsidR="00545B24" w:rsidRPr="00D31408" w:rsidRDefault="00545B24" w:rsidP="00545B24">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Cs/>
          <w:color w:val="000000" w:themeColor="text1"/>
          <w:kern w:val="0"/>
          <w:sz w:val="24"/>
          <w:szCs w:val="24"/>
        </w:rPr>
        <w:t>本</w:t>
      </w:r>
      <w:r w:rsidRPr="00D31408">
        <w:rPr>
          <w:rFonts w:ascii="Arial" w:eastAsia="宋体" w:hAnsi="Arial" w:cs="Arial" w:hint="eastAsia"/>
          <w:bCs/>
          <w:color w:val="000000" w:themeColor="text1"/>
          <w:kern w:val="0"/>
          <w:sz w:val="24"/>
          <w:szCs w:val="24"/>
        </w:rPr>
        <w:t>测</w:t>
      </w:r>
      <w:r w:rsidRPr="00D31408">
        <w:rPr>
          <w:rFonts w:ascii="Arial" w:eastAsia="宋体" w:hAnsi="Arial" w:cs="Arial"/>
          <w:bCs/>
          <w:color w:val="000000" w:themeColor="text1"/>
          <w:kern w:val="0"/>
          <w:sz w:val="24"/>
          <w:szCs w:val="24"/>
        </w:rPr>
        <w:t>试以普通高中学校的教科书为基础，结合高中的学习要求及教育实际，</w:t>
      </w:r>
      <w:r w:rsidRPr="00D31408">
        <w:rPr>
          <w:rFonts w:ascii="Arial" w:eastAsia="宋体" w:hAnsi="Arial" w:cs="Arial"/>
          <w:color w:val="000000" w:themeColor="text1"/>
          <w:kern w:val="0"/>
          <w:sz w:val="24"/>
          <w:szCs w:val="24"/>
        </w:rPr>
        <w:t>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四、职业潜能</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45B24" w:rsidRPr="00D31408" w:rsidRDefault="00545B24" w:rsidP="00545B24">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966"/>
        <w:gridCol w:w="1417"/>
        <w:gridCol w:w="992"/>
        <w:gridCol w:w="993"/>
        <w:gridCol w:w="3969"/>
      </w:tblGrid>
      <w:tr w:rsidR="00545B24"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45B24" w:rsidRPr="00D31408" w:rsidRDefault="00545B2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45B24" w:rsidRPr="00D31408" w:rsidRDefault="00545B2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545B24" w:rsidRPr="00D31408" w:rsidRDefault="00545B2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545B24" w:rsidRPr="00D31408" w:rsidRDefault="00545B2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545B24" w:rsidRPr="00D31408" w:rsidRDefault="00545B2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545B24"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545B24" w:rsidRPr="00D31408" w:rsidRDefault="00545B24"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545B24"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545B24" w:rsidRPr="00D31408" w:rsidRDefault="00545B24"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545B24" w:rsidRPr="00D31408" w:rsidRDefault="00545B24"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545B24"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545B24" w:rsidRPr="00D31408" w:rsidRDefault="00545B24"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545B24" w:rsidRPr="00D31408" w:rsidRDefault="00545B24"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545B24"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45B24" w:rsidRPr="00D31408" w:rsidRDefault="00545B2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45B24" w:rsidRPr="00D31408" w:rsidRDefault="00545B2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545B24" w:rsidRPr="00D31408" w:rsidRDefault="00545B24" w:rsidP="00545B24">
      <w:pPr>
        <w:widowControl/>
        <w:shd w:val="clear" w:color="auto" w:fill="FFFFFF"/>
        <w:spacing w:line="360" w:lineRule="auto"/>
        <w:jc w:val="center"/>
        <w:rPr>
          <w:rFonts w:ascii="Arial" w:eastAsia="宋体" w:hAnsi="Arial" w:cs="Arial"/>
          <w:b/>
          <w:bCs/>
          <w:color w:val="000000" w:themeColor="text1"/>
          <w:kern w:val="0"/>
          <w:sz w:val="24"/>
          <w:szCs w:val="24"/>
        </w:rPr>
      </w:pPr>
    </w:p>
    <w:p w:rsidR="00545B24" w:rsidRPr="00D31408" w:rsidRDefault="00545B24" w:rsidP="00545B2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545B24" w:rsidRPr="00D31408" w:rsidRDefault="00545B24" w:rsidP="00545B24">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545B24" w:rsidRPr="00D31408" w:rsidRDefault="00545B24" w:rsidP="00545B24">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545B24" w:rsidRPr="00D31408" w:rsidRDefault="00545B24" w:rsidP="00545B24">
      <w:pPr>
        <w:spacing w:line="360" w:lineRule="auto"/>
        <w:rPr>
          <w:rFonts w:ascii="宋体" w:hAnsi="宋体" w:cs="宋体"/>
          <w:color w:val="000000" w:themeColor="text1"/>
          <w:sz w:val="24"/>
        </w:rPr>
      </w:pPr>
      <w:r w:rsidRPr="00D31408">
        <w:rPr>
          <w:rFonts w:ascii="宋体" w:hAnsi="宋体" w:cs="宋体" w:hint="eastAsia"/>
          <w:color w:val="000000" w:themeColor="text1"/>
          <w:sz w:val="24"/>
        </w:rPr>
        <w:lastRenderedPageBreak/>
        <w:t xml:space="preserve">    3.面试开始前，由工作人员向考生宣读《考试注意事项》。开考后，由工作人员将考生先后引导到主考室进行面试。</w:t>
      </w:r>
    </w:p>
    <w:p w:rsidR="00545B24" w:rsidRPr="00D31408" w:rsidRDefault="00545B24" w:rsidP="00545B24">
      <w:pPr>
        <w:widowControl/>
        <w:shd w:val="clear" w:color="auto" w:fill="FFFFFF"/>
        <w:spacing w:line="360" w:lineRule="auto"/>
        <w:jc w:val="center"/>
        <w:rPr>
          <w:rFonts w:ascii="Arial" w:eastAsia="宋体" w:hAnsi="Arial" w:cs="Arial"/>
          <w:b/>
          <w:bCs/>
          <w:color w:val="000000" w:themeColor="text1"/>
          <w:kern w:val="0"/>
          <w:sz w:val="24"/>
          <w:szCs w:val="24"/>
        </w:rPr>
      </w:pPr>
    </w:p>
    <w:p w:rsidR="00545B24" w:rsidRPr="00D31408" w:rsidRDefault="00545B24" w:rsidP="00545B2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p>
    <w:p w:rsidR="00545B24" w:rsidRPr="00D31408" w:rsidRDefault="00545B24" w:rsidP="00545B24">
      <w:pPr>
        <w:pStyle w:val="text"/>
        <w:shd w:val="clear" w:color="auto" w:fill="FFFFFF"/>
        <w:spacing w:before="0" w:beforeAutospacing="0" w:after="0" w:afterAutospacing="0" w:line="360" w:lineRule="auto"/>
        <w:ind w:left="120" w:firstLineChars="200" w:firstLine="482"/>
        <w:rPr>
          <w:rFonts w:eastAsiaTheme="minorEastAsia"/>
          <w:color w:val="000000" w:themeColor="text1"/>
          <w:kern w:val="2"/>
          <w:szCs w:val="22"/>
        </w:rPr>
      </w:pPr>
      <w:r w:rsidRPr="00D31408">
        <w:rPr>
          <w:rFonts w:ascii="Arial" w:hAnsi="Arial" w:cs="Arial"/>
          <w:b/>
          <w:bCs/>
          <w:color w:val="000000" w:themeColor="text1"/>
        </w:rPr>
        <w:t>例一</w:t>
      </w:r>
      <w:r w:rsidRPr="00D31408">
        <w:rPr>
          <w:rFonts w:ascii="Arial" w:hAnsi="Arial" w:cs="Arial"/>
          <w:color w:val="000000" w:themeColor="text1"/>
        </w:rPr>
        <w:t>：</w:t>
      </w:r>
      <w:r w:rsidRPr="00D31408">
        <w:rPr>
          <w:rFonts w:eastAsiaTheme="minorEastAsia" w:hint="eastAsia"/>
          <w:color w:val="000000" w:themeColor="text1"/>
          <w:kern w:val="2"/>
          <w:szCs w:val="22"/>
        </w:rPr>
        <w:t>请朗读诗歌《沁园春·雪》</w:t>
      </w:r>
    </w:p>
    <w:p w:rsidR="00545B24" w:rsidRPr="00D31408" w:rsidRDefault="00545B24" w:rsidP="00545B24">
      <w:pPr>
        <w:pStyle w:val="text"/>
        <w:shd w:val="clear" w:color="auto" w:fill="FFFFFF"/>
        <w:spacing w:before="0" w:beforeAutospacing="0" w:after="0" w:afterAutospacing="0" w:line="360" w:lineRule="auto"/>
        <w:ind w:left="120" w:firstLineChars="250" w:firstLine="600"/>
        <w:rPr>
          <w:rFonts w:eastAsiaTheme="minorEastAsia"/>
          <w:color w:val="000000" w:themeColor="text1"/>
          <w:kern w:val="2"/>
          <w:szCs w:val="22"/>
        </w:rPr>
      </w:pPr>
      <w:r w:rsidRPr="00D31408">
        <w:rPr>
          <w:rFonts w:eastAsiaTheme="minorEastAsia" w:hint="eastAsia"/>
          <w:color w:val="000000" w:themeColor="text1"/>
          <w:kern w:val="2"/>
          <w:szCs w:val="22"/>
        </w:rPr>
        <w:t>沁园春·雪</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         —— 毛泽东</w:t>
      </w:r>
    </w:p>
    <w:p w:rsidR="00545B24" w:rsidRPr="00D31408" w:rsidRDefault="00545B24" w:rsidP="00545B24">
      <w:pPr>
        <w:widowControl/>
        <w:shd w:val="clear" w:color="auto" w:fill="FFFFFF"/>
        <w:spacing w:line="360" w:lineRule="auto"/>
        <w:ind w:firstLineChars="100" w:firstLine="240"/>
        <w:jc w:val="left"/>
        <w:rPr>
          <w:rFonts w:ascii="宋体" w:hAnsi="宋体" w:cs="宋体"/>
          <w:color w:val="000000" w:themeColor="text1"/>
          <w:sz w:val="24"/>
        </w:rPr>
      </w:pPr>
      <w:r w:rsidRPr="00D31408">
        <w:rPr>
          <w:rFonts w:ascii="宋体" w:hAnsi="宋体" w:cs="宋体" w:hint="eastAsia"/>
          <w:color w:val="000000" w:themeColor="text1"/>
          <w:sz w:val="24"/>
        </w:rPr>
        <w:t>北国风光，千里冰封，万里雪飘。</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望长城内外，惟余莽莽；大河上下，顿失滔滔。</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山舞银蛇，原驰蜡象，欲与天公试比高。</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须晴日，看红装素裹，分外妖娆。</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江山如此多娇，引无数英雄竞折腰。</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惜秦皇汉武，略输文采；唐宗宋祖，稍逊风骚。</w:t>
      </w:r>
    </w:p>
    <w:p w:rsidR="00545B24" w:rsidRPr="00D31408" w:rsidRDefault="00545B24" w:rsidP="00545B24">
      <w:pPr>
        <w:pStyle w:val="text"/>
        <w:shd w:val="clear" w:color="auto" w:fill="FFFFFF"/>
        <w:spacing w:before="0" w:beforeAutospacing="0" w:after="0" w:afterAutospacing="0" w:line="360" w:lineRule="auto"/>
        <w:ind w:left="120"/>
        <w:rPr>
          <w:rFonts w:eastAsiaTheme="minorEastAsia"/>
          <w:color w:val="000000" w:themeColor="text1"/>
          <w:kern w:val="2"/>
          <w:szCs w:val="22"/>
        </w:rPr>
      </w:pPr>
      <w:r w:rsidRPr="00D31408">
        <w:rPr>
          <w:rFonts w:eastAsiaTheme="minorEastAsia" w:hint="eastAsia"/>
          <w:color w:val="000000" w:themeColor="text1"/>
          <w:kern w:val="2"/>
          <w:szCs w:val="22"/>
        </w:rPr>
        <w:t>一代天骄，成吉思汗，只识弯弓射大雕。</w:t>
      </w:r>
    </w:p>
    <w:p w:rsidR="00545B24" w:rsidRPr="00D31408" w:rsidRDefault="00545B24" w:rsidP="00545B24">
      <w:pPr>
        <w:pStyle w:val="text"/>
        <w:shd w:val="clear" w:color="auto" w:fill="FFFFFF"/>
        <w:spacing w:before="0" w:beforeAutospacing="0" w:after="0" w:afterAutospacing="0" w:line="360" w:lineRule="auto"/>
        <w:ind w:left="120"/>
        <w:rPr>
          <w:rFonts w:ascii="Arial" w:hAnsi="Arial" w:cs="Arial"/>
          <w:color w:val="000000" w:themeColor="text1"/>
        </w:rPr>
      </w:pPr>
      <w:r w:rsidRPr="00D31408">
        <w:rPr>
          <w:rFonts w:eastAsiaTheme="minorEastAsia" w:hint="eastAsia"/>
          <w:color w:val="000000" w:themeColor="text1"/>
          <w:kern w:val="2"/>
          <w:szCs w:val="22"/>
        </w:rPr>
        <w:t>俱往矣，数风流人物，还看今朝。</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谈谈你对所选专业的理解</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color w:val="000000" w:themeColor="text1"/>
          <w:kern w:val="0"/>
          <w:sz w:val="24"/>
          <w:szCs w:val="24"/>
        </w:rPr>
        <w:t>谈谈你所知道化妆品品牌</w:t>
      </w:r>
    </w:p>
    <w:p w:rsidR="00545B24" w:rsidRPr="00D31408" w:rsidRDefault="00545B24" w:rsidP="00545B24">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宋体" w:eastAsia="宋体" w:hAnsi="宋体" w:cs="宋体" w:hint="eastAsia"/>
          <w:color w:val="000000" w:themeColor="text1"/>
          <w:kern w:val="0"/>
          <w:sz w:val="24"/>
          <w:szCs w:val="24"/>
        </w:rPr>
        <w:t> </w:t>
      </w:r>
      <w:r w:rsidRPr="00D31408">
        <w:rPr>
          <w:rFonts w:ascii="黑体" w:eastAsia="黑体" w:hAnsi="黑体" w:cs="Arial" w:hint="eastAsia"/>
          <w:b/>
          <w:bCs/>
          <w:color w:val="000000" w:themeColor="text1"/>
          <w:kern w:val="0"/>
          <w:sz w:val="28"/>
          <w:szCs w:val="40"/>
        </w:rPr>
        <w:t>二、笔试部分</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545B24" w:rsidRPr="00D31408" w:rsidRDefault="00545B24" w:rsidP="00545B2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3.</w:t>
      </w:r>
      <w:r w:rsidRPr="00D31408">
        <w:rPr>
          <w:rFonts w:ascii="Arial" w:eastAsia="宋体" w:hAnsi="Arial" w:cs="Arial" w:hint="eastAsia"/>
          <w:color w:val="000000" w:themeColor="text1"/>
          <w:kern w:val="0"/>
          <w:sz w:val="24"/>
          <w:szCs w:val="24"/>
        </w:rPr>
        <w:t>民主与社会主义的关系</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545B24" w:rsidRPr="00D31408" w:rsidRDefault="00545B24" w:rsidP="00545B2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545B24" w:rsidRPr="00D31408" w:rsidRDefault="00545B24" w:rsidP="00545B24">
      <w:pPr>
        <w:widowControl/>
        <w:shd w:val="clear" w:color="auto" w:fill="FFFFFF"/>
        <w:spacing w:line="360" w:lineRule="auto"/>
        <w:rPr>
          <w:rFonts w:ascii="Arial" w:eastAsia="宋体" w:hAnsi="Arial" w:cs="Arial"/>
          <w:color w:val="000000" w:themeColor="text1"/>
          <w:szCs w:val="21"/>
          <w:shd w:val="clear" w:color="auto" w:fill="FFFFFF"/>
        </w:rPr>
      </w:pPr>
    </w:p>
    <w:p w:rsidR="00545B24" w:rsidRPr="00D31408" w:rsidRDefault="00545B24" w:rsidP="00545B24">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545B24" w:rsidRPr="00D31408" w:rsidRDefault="00545B24" w:rsidP="00545B24">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545B24" w:rsidRPr="00D31408" w:rsidRDefault="00545B24" w:rsidP="00545B24">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545B24" w:rsidRPr="00D31408" w:rsidRDefault="00545B24" w:rsidP="00545B2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545B24" w:rsidRPr="00D31408" w:rsidRDefault="00545B24" w:rsidP="00545B2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545B24" w:rsidRPr="00D31408" w:rsidRDefault="00545B24" w:rsidP="00545B24">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545B24" w:rsidRPr="00D31408" w:rsidRDefault="00545B24" w:rsidP="00545B2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8225FB" w:rsidRDefault="008225FB"/>
    <w:sectPr w:rsidR="008225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5FB" w:rsidRDefault="008225FB" w:rsidP="00545B24">
      <w:r>
        <w:separator/>
      </w:r>
    </w:p>
  </w:endnote>
  <w:endnote w:type="continuationSeparator" w:id="1">
    <w:p w:rsidR="008225FB" w:rsidRDefault="008225FB" w:rsidP="00545B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5FB" w:rsidRDefault="008225FB" w:rsidP="00545B24">
      <w:r>
        <w:separator/>
      </w:r>
    </w:p>
  </w:footnote>
  <w:footnote w:type="continuationSeparator" w:id="1">
    <w:p w:rsidR="008225FB" w:rsidRDefault="008225FB" w:rsidP="00545B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5B24"/>
    <w:rsid w:val="00545B24"/>
    <w:rsid w:val="008225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B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5B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5B24"/>
    <w:rPr>
      <w:sz w:val="18"/>
      <w:szCs w:val="18"/>
    </w:rPr>
  </w:style>
  <w:style w:type="paragraph" w:styleId="a4">
    <w:name w:val="footer"/>
    <w:basedOn w:val="a"/>
    <w:link w:val="Char0"/>
    <w:uiPriority w:val="99"/>
    <w:semiHidden/>
    <w:unhideWhenUsed/>
    <w:rsid w:val="00545B2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5B24"/>
    <w:rPr>
      <w:sz w:val="18"/>
      <w:szCs w:val="18"/>
    </w:rPr>
  </w:style>
  <w:style w:type="paragraph" w:customStyle="1" w:styleId="text">
    <w:name w:val="text"/>
    <w:basedOn w:val="a"/>
    <w:rsid w:val="00545B2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549</Words>
  <Characters>3135</Characters>
  <Application>Microsoft Office Word</Application>
  <DocSecurity>0</DocSecurity>
  <Lines>26</Lines>
  <Paragraphs>7</Paragraphs>
  <ScaleCrop>false</ScaleCrop>
  <Company>Lenovo</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2019-03-17T01:28:00Z</dcterms:created>
  <dcterms:modified xsi:type="dcterms:W3CDTF">2019-03-17T01:28:00Z</dcterms:modified>
</cp:coreProperties>
</file>