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2"/>
        <w:jc w:val="center"/>
        <w:rPr>
          <w:rFonts w:ascii="宋体" w:hAnsi="宋体" w:cs="宋体"/>
          <w:b/>
          <w:sz w:val="44"/>
          <w:szCs w:val="44"/>
        </w:rPr>
      </w:pPr>
    </w:p>
    <w:p>
      <w:pPr>
        <w:spacing w:line="360" w:lineRule="auto"/>
        <w:ind w:firstLine="642"/>
        <w:jc w:val="center"/>
        <w:rPr>
          <w:rFonts w:ascii="宋体" w:hAnsi="宋体" w:cs="宋体"/>
          <w:b/>
          <w:sz w:val="44"/>
          <w:szCs w:val="44"/>
        </w:rPr>
      </w:pPr>
      <w:r>
        <w:rPr>
          <w:rFonts w:hint="eastAsia" w:ascii="宋体" w:hAnsi="宋体" w:cs="宋体"/>
          <w:b/>
          <w:sz w:val="44"/>
          <w:szCs w:val="44"/>
        </w:rPr>
        <w:t>浙江安防职业技术学院</w:t>
      </w:r>
      <w:r>
        <w:rPr>
          <w:rFonts w:ascii="宋体" w:hAnsi="宋体" w:cs="宋体"/>
          <w:b/>
          <w:sz w:val="44"/>
          <w:szCs w:val="44"/>
        </w:rPr>
        <w:t>2019</w:t>
      </w:r>
      <w:r>
        <w:rPr>
          <w:rFonts w:hint="eastAsia" w:ascii="宋体" w:hAnsi="宋体" w:cs="宋体"/>
          <w:b/>
          <w:sz w:val="44"/>
          <w:szCs w:val="44"/>
        </w:rPr>
        <w:t>年</w:t>
      </w:r>
    </w:p>
    <w:p>
      <w:pPr>
        <w:spacing w:line="360" w:lineRule="auto"/>
        <w:ind w:firstLine="642"/>
        <w:jc w:val="center"/>
        <w:rPr>
          <w:rFonts w:hint="eastAsia" w:asciiTheme="majorEastAsia" w:hAnsiTheme="majorEastAsia" w:eastAsiaTheme="majorEastAsia" w:cstheme="majorEastAsia"/>
          <w:b/>
          <w:bCs/>
          <w:color w:val="auto"/>
          <w:sz w:val="44"/>
          <w:szCs w:val="44"/>
          <w:highlight w:val="none"/>
          <w:lang w:val="en-US" w:eastAsia="zh-CN"/>
        </w:rPr>
      </w:pPr>
      <w:r>
        <w:rPr>
          <w:rFonts w:hint="eastAsia" w:asciiTheme="majorEastAsia" w:hAnsiTheme="majorEastAsia" w:eastAsiaTheme="majorEastAsia" w:cstheme="majorEastAsia"/>
          <w:b/>
          <w:bCs/>
          <w:color w:val="auto"/>
          <w:sz w:val="44"/>
          <w:szCs w:val="44"/>
          <w:highlight w:val="none"/>
          <w:lang w:val="en-US" w:eastAsia="zh-CN"/>
        </w:rPr>
        <w:t xml:space="preserve"> 面向退役士兵、下岗失业人员等高职扩招</w:t>
      </w:r>
    </w:p>
    <w:p>
      <w:pPr>
        <w:spacing w:line="360" w:lineRule="auto"/>
        <w:ind w:firstLine="642"/>
        <w:jc w:val="center"/>
        <w:rPr>
          <w:rFonts w:ascii="宋体" w:cs="宋体"/>
          <w:b/>
          <w:bCs/>
          <w:sz w:val="44"/>
          <w:szCs w:val="44"/>
        </w:rPr>
      </w:pPr>
      <w:r>
        <w:rPr>
          <w:rFonts w:hint="eastAsia" w:ascii="宋体" w:eastAsia="宋体"/>
          <w:b/>
          <w:bCs/>
          <w:sz w:val="40"/>
        </w:rPr>
        <w:t>招生</w:t>
      </w:r>
      <w:r>
        <w:rPr>
          <w:rFonts w:hint="eastAsia" w:ascii="宋体" w:hAnsi="宋体" w:cs="宋体"/>
          <w:b/>
          <w:bCs/>
          <w:sz w:val="44"/>
          <w:szCs w:val="44"/>
        </w:rPr>
        <w:t>章程</w:t>
      </w:r>
    </w:p>
    <w:p>
      <w:pPr>
        <w:adjustRightInd w:val="0"/>
        <w:snapToGrid w:val="0"/>
        <w:spacing w:line="360" w:lineRule="auto"/>
        <w:rPr>
          <w:rFonts w:ascii="宋体" w:hAnsi="宋体" w:cs="宋体"/>
          <w:b/>
          <w:sz w:val="28"/>
          <w:szCs w:val="32"/>
        </w:rPr>
      </w:pPr>
    </w:p>
    <w:p>
      <w:pPr>
        <w:adjustRightInd w:val="0"/>
        <w:snapToGrid w:val="0"/>
        <w:spacing w:line="360" w:lineRule="auto"/>
        <w:rPr>
          <w:rFonts w:ascii="宋体" w:hAnsi="宋体" w:cs="宋体"/>
          <w:b/>
          <w:sz w:val="28"/>
          <w:szCs w:val="32"/>
        </w:rPr>
      </w:pPr>
    </w:p>
    <w:p>
      <w:pPr>
        <w:adjustRightInd w:val="0"/>
        <w:snapToGrid w:val="0"/>
        <w:spacing w:line="600" w:lineRule="exact"/>
        <w:rPr>
          <w:rFonts w:ascii="宋体" w:hAnsi="宋体" w:cs="宋体"/>
          <w:b/>
          <w:sz w:val="28"/>
          <w:szCs w:val="32"/>
        </w:rPr>
      </w:pPr>
    </w:p>
    <w:p>
      <w:pPr>
        <w:widowControl/>
        <w:adjustRightInd w:val="0"/>
        <w:snapToGrid w:val="0"/>
        <w:spacing w:afterLines="100" w:line="600" w:lineRule="exact"/>
        <w:jc w:val="center"/>
        <w:rPr>
          <w:rStyle w:val="8"/>
          <w:rFonts w:ascii="黑体" w:hAnsi="黑体" w:eastAsia="黑体"/>
          <w:b w:val="0"/>
          <w:bCs/>
          <w:color w:val="000000"/>
          <w:kern w:val="0"/>
          <w:sz w:val="32"/>
          <w:szCs w:val="32"/>
        </w:rPr>
      </w:pPr>
      <w:r>
        <w:rPr>
          <w:rStyle w:val="8"/>
          <w:rFonts w:hint="eastAsia" w:ascii="黑体" w:hAnsi="黑体" w:eastAsia="黑体"/>
          <w:b w:val="0"/>
          <w:bCs/>
          <w:color w:val="000000"/>
          <w:kern w:val="0"/>
          <w:sz w:val="32"/>
          <w:szCs w:val="32"/>
        </w:rPr>
        <w:t>第一章  总  则</w:t>
      </w:r>
    </w:p>
    <w:p>
      <w:pPr>
        <w:widowControl/>
        <w:adjustRightInd w:val="0"/>
        <w:snapToGrid w:val="0"/>
        <w:spacing w:line="600" w:lineRule="exact"/>
        <w:ind w:firstLine="640" w:firstLineChars="200"/>
        <w:jc w:val="left"/>
        <w:rPr>
          <w:rFonts w:ascii="仿宋_GB2312" w:hAnsi="微软雅黑" w:eastAsia="仿宋_GB2312" w:cs="微软雅黑"/>
          <w:sz w:val="32"/>
          <w:szCs w:val="32"/>
        </w:rPr>
      </w:pPr>
      <w:r>
        <w:rPr>
          <w:rFonts w:hint="eastAsia" w:ascii="仿宋_GB2312" w:hAnsi="微软雅黑" w:eastAsia="仿宋_GB2312" w:cs="微软雅黑"/>
          <w:sz w:val="32"/>
          <w:szCs w:val="32"/>
        </w:rPr>
        <w:t xml:space="preserve">第一条  </w:t>
      </w:r>
      <w:r>
        <w:rPr>
          <w:rFonts w:hint="eastAsia" w:ascii="仿宋_GB2312" w:hAnsi="微软雅黑" w:eastAsia="仿宋_GB2312" w:cs="微软雅黑"/>
          <w:kern w:val="0"/>
          <w:sz w:val="32"/>
          <w:szCs w:val="32"/>
        </w:rPr>
        <w:t>为落实国务院《2019年政府工作报告》中关于高职院校扩招相关工作要求，根据省考试院相关规定，为切实做好</w:t>
      </w:r>
      <w:r>
        <w:rPr>
          <w:rFonts w:hint="eastAsia" w:ascii="仿宋_GB2312" w:hAnsi="微软雅黑" w:eastAsia="仿宋_GB2312" w:cs="微软雅黑"/>
          <w:bCs/>
          <w:sz w:val="32"/>
          <w:szCs w:val="32"/>
        </w:rPr>
        <w:t>高职扩招招生</w:t>
      </w:r>
      <w:r>
        <w:rPr>
          <w:rFonts w:hint="eastAsia" w:ascii="仿宋_GB2312" w:hAnsi="微软雅黑" w:eastAsia="仿宋_GB2312" w:cs="微软雅黑"/>
          <w:kern w:val="0"/>
          <w:sz w:val="32"/>
          <w:szCs w:val="32"/>
        </w:rPr>
        <w:t>工作，结合学院的实际情况，制定本章程。</w:t>
      </w:r>
    </w:p>
    <w:p>
      <w:pPr>
        <w:widowControl/>
        <w:adjustRightInd w:val="0"/>
        <w:snapToGrid w:val="0"/>
        <w:spacing w:line="600" w:lineRule="exact"/>
        <w:ind w:firstLine="643" w:firstLineChars="200"/>
        <w:jc w:val="center"/>
        <w:rPr>
          <w:rStyle w:val="8"/>
          <w:rFonts w:ascii="仿宋_GB2312" w:hAnsi="微软雅黑" w:eastAsia="仿宋_GB2312" w:cs="微软雅黑"/>
          <w:bCs/>
          <w:color w:val="000000"/>
          <w:kern w:val="0"/>
          <w:sz w:val="32"/>
          <w:szCs w:val="32"/>
        </w:rPr>
      </w:pPr>
    </w:p>
    <w:p>
      <w:pPr>
        <w:widowControl/>
        <w:adjustRightInd w:val="0"/>
        <w:snapToGrid w:val="0"/>
        <w:spacing w:afterLines="100" w:line="600" w:lineRule="exact"/>
        <w:jc w:val="center"/>
        <w:rPr>
          <w:rFonts w:ascii="黑体" w:hAnsi="黑体" w:eastAsia="黑体" w:cs="微软雅黑"/>
          <w:b/>
          <w:bCs/>
          <w:color w:val="555555"/>
          <w:sz w:val="32"/>
          <w:szCs w:val="32"/>
        </w:rPr>
      </w:pPr>
      <w:r>
        <w:rPr>
          <w:rStyle w:val="8"/>
          <w:rFonts w:hint="eastAsia" w:ascii="黑体" w:hAnsi="黑体" w:eastAsia="黑体" w:cs="微软雅黑"/>
          <w:b w:val="0"/>
          <w:bCs/>
          <w:color w:val="000000"/>
          <w:kern w:val="0"/>
          <w:sz w:val="32"/>
          <w:szCs w:val="32"/>
        </w:rPr>
        <w:t>第二章</w:t>
      </w:r>
      <w:r>
        <w:rPr>
          <w:rStyle w:val="8"/>
          <w:rFonts w:hint="eastAsia" w:ascii="微软雅黑" w:hAnsi="微软雅黑" w:eastAsia="黑体" w:cs="微软雅黑"/>
          <w:b w:val="0"/>
          <w:bCs/>
          <w:color w:val="000000"/>
          <w:kern w:val="0"/>
          <w:sz w:val="32"/>
          <w:szCs w:val="32"/>
        </w:rPr>
        <w:t> </w:t>
      </w:r>
      <w:r>
        <w:rPr>
          <w:rStyle w:val="8"/>
          <w:rFonts w:hint="eastAsia" w:ascii="黑体" w:hAnsi="黑体" w:eastAsia="黑体" w:cs="微软雅黑"/>
          <w:b w:val="0"/>
          <w:bCs/>
          <w:color w:val="000000"/>
          <w:kern w:val="0"/>
          <w:sz w:val="32"/>
          <w:szCs w:val="32"/>
        </w:rPr>
        <w:t xml:space="preserve"> 学校概况</w:t>
      </w:r>
    </w:p>
    <w:p>
      <w:pPr>
        <w:widowControl/>
        <w:adjustRightInd w:val="0"/>
        <w:snapToGrid w:val="0"/>
        <w:spacing w:line="600" w:lineRule="exact"/>
        <w:ind w:firstLine="640" w:firstLineChars="200"/>
        <w:jc w:val="left"/>
        <w:rPr>
          <w:rFonts w:ascii="仿宋_GB2312" w:hAnsi="微软雅黑" w:eastAsia="仿宋_GB2312" w:cs="微软雅黑"/>
          <w:color w:val="000000" w:themeColor="text1"/>
          <w:sz w:val="32"/>
          <w:szCs w:val="32"/>
        </w:rPr>
      </w:pPr>
      <w:r>
        <w:rPr>
          <w:rFonts w:hint="eastAsia" w:ascii="仿宋_GB2312" w:hAnsi="微软雅黑" w:eastAsia="仿宋_GB2312" w:cs="微软雅黑"/>
          <w:color w:val="000000" w:themeColor="text1"/>
          <w:kern w:val="0"/>
          <w:sz w:val="32"/>
          <w:szCs w:val="32"/>
        </w:rPr>
        <w:t>第二条</w:t>
      </w:r>
      <w:r>
        <w:rPr>
          <w:rFonts w:hint="eastAsia" w:ascii="微软雅黑" w:hAnsi="微软雅黑" w:eastAsia="仿宋_GB2312" w:cs="微软雅黑"/>
          <w:color w:val="000000" w:themeColor="text1"/>
          <w:kern w:val="0"/>
          <w:sz w:val="32"/>
          <w:szCs w:val="32"/>
        </w:rPr>
        <w:t> </w:t>
      </w:r>
      <w:r>
        <w:rPr>
          <w:rFonts w:hint="eastAsia" w:ascii="仿宋_GB2312" w:hAnsi="微软雅黑" w:eastAsia="仿宋_GB2312" w:cs="微软雅黑"/>
          <w:color w:val="000000" w:themeColor="text1"/>
          <w:kern w:val="0"/>
          <w:sz w:val="32"/>
          <w:szCs w:val="32"/>
        </w:rPr>
        <w:t xml:space="preserve"> 浙江安防职业技术学院是经教育部批准建立的国有公办普通全日制高等职业技术学院（学校国标码：14492，浙江省学校招生代码：0133）</w:t>
      </w:r>
      <w:r>
        <w:rPr>
          <w:rFonts w:hint="eastAsia" w:ascii="仿宋_GB2312" w:hAnsi="微软雅黑" w:eastAsia="仿宋_GB2312" w:cs="微软雅黑"/>
          <w:color w:val="000000" w:themeColor="text1"/>
          <w:kern w:val="0"/>
          <w:sz w:val="32"/>
          <w:szCs w:val="32"/>
          <w:shd w:val="clear" w:color="auto" w:fill="FFFFFF"/>
        </w:rPr>
        <w:t>，</w:t>
      </w:r>
      <w:r>
        <w:rPr>
          <w:rFonts w:hint="eastAsia" w:ascii="仿宋_GB2312" w:hAnsi="微软雅黑" w:eastAsia="仿宋_GB2312" w:cs="微软雅黑"/>
          <w:color w:val="000000" w:themeColor="text1"/>
          <w:kern w:val="0"/>
          <w:sz w:val="32"/>
          <w:szCs w:val="32"/>
        </w:rPr>
        <w:t>由温州市人民政府、浙江省公安厅、公安部第一研究所联合创办。</w:t>
      </w:r>
    </w:p>
    <w:p>
      <w:pPr>
        <w:widowControl/>
        <w:adjustRightInd w:val="0"/>
        <w:snapToGrid w:val="0"/>
        <w:spacing w:line="600" w:lineRule="exact"/>
        <w:ind w:firstLine="640" w:firstLineChars="200"/>
        <w:jc w:val="left"/>
        <w:rPr>
          <w:rFonts w:ascii="仿宋_GB2312" w:hAnsi="微软雅黑" w:eastAsia="仿宋_GB2312" w:cs="微软雅黑"/>
          <w:color w:val="000000" w:themeColor="text1"/>
          <w:sz w:val="32"/>
          <w:szCs w:val="32"/>
        </w:rPr>
      </w:pPr>
      <w:r>
        <w:rPr>
          <w:rFonts w:hint="eastAsia" w:ascii="仿宋_GB2312" w:hAnsi="微软雅黑" w:eastAsia="仿宋_GB2312" w:cs="微软雅黑"/>
          <w:color w:val="000000" w:themeColor="text1"/>
          <w:kern w:val="0"/>
          <w:sz w:val="32"/>
          <w:szCs w:val="32"/>
        </w:rPr>
        <w:t>第三条</w:t>
      </w:r>
      <w:r>
        <w:rPr>
          <w:rFonts w:hint="eastAsia" w:ascii="微软雅黑" w:hAnsi="微软雅黑" w:eastAsia="仿宋_GB2312" w:cs="微软雅黑"/>
          <w:color w:val="000000" w:themeColor="text1"/>
          <w:kern w:val="0"/>
          <w:sz w:val="32"/>
          <w:szCs w:val="32"/>
        </w:rPr>
        <w:t> </w:t>
      </w:r>
      <w:r>
        <w:rPr>
          <w:rFonts w:hint="eastAsia" w:ascii="仿宋_GB2312" w:hAnsi="微软雅黑" w:eastAsia="仿宋_GB2312" w:cs="微软雅黑"/>
          <w:color w:val="000000" w:themeColor="text1"/>
          <w:kern w:val="0"/>
          <w:sz w:val="32"/>
          <w:szCs w:val="32"/>
        </w:rPr>
        <w:t xml:space="preserve"> 学院经批准具有高等职业技术学历教育招生资格，颁发浙江安防职业技术学院专科（高职）学历证书。</w:t>
      </w:r>
    </w:p>
    <w:p>
      <w:pPr>
        <w:widowControl/>
        <w:adjustRightInd w:val="0"/>
        <w:snapToGrid w:val="0"/>
        <w:spacing w:line="600" w:lineRule="exact"/>
        <w:ind w:firstLine="640" w:firstLineChars="200"/>
        <w:jc w:val="left"/>
        <w:rPr>
          <w:rFonts w:ascii="仿宋_GB2312" w:hAnsi="微软雅黑" w:eastAsia="仿宋_GB2312" w:cs="微软雅黑"/>
          <w:color w:val="000000" w:themeColor="text1"/>
          <w:sz w:val="32"/>
          <w:szCs w:val="32"/>
        </w:rPr>
      </w:pPr>
      <w:r>
        <w:rPr>
          <w:rStyle w:val="8"/>
          <w:rFonts w:hint="eastAsia" w:ascii="仿宋_GB2312" w:hAnsi="微软雅黑" w:eastAsia="仿宋_GB2312" w:cs="微软雅黑"/>
          <w:b w:val="0"/>
          <w:color w:val="000000" w:themeColor="text1"/>
          <w:kern w:val="0"/>
          <w:sz w:val="32"/>
          <w:szCs w:val="32"/>
        </w:rPr>
        <w:t>第四条</w:t>
      </w:r>
      <w:r>
        <w:rPr>
          <w:rStyle w:val="8"/>
          <w:rFonts w:hint="eastAsia" w:ascii="微软雅黑" w:hAnsi="微软雅黑" w:eastAsia="仿宋_GB2312" w:cs="微软雅黑"/>
          <w:b w:val="0"/>
          <w:color w:val="000000" w:themeColor="text1"/>
          <w:kern w:val="0"/>
          <w:sz w:val="32"/>
          <w:szCs w:val="32"/>
        </w:rPr>
        <w:t> </w:t>
      </w:r>
      <w:r>
        <w:rPr>
          <w:rStyle w:val="8"/>
          <w:rFonts w:hint="eastAsia" w:ascii="仿宋_GB2312" w:hAnsi="微软雅黑" w:eastAsia="仿宋_GB2312" w:cs="微软雅黑"/>
          <w:b w:val="0"/>
          <w:color w:val="000000" w:themeColor="text1"/>
          <w:kern w:val="0"/>
          <w:sz w:val="32"/>
          <w:szCs w:val="32"/>
        </w:rPr>
        <w:t xml:space="preserve"> </w:t>
      </w:r>
      <w:r>
        <w:rPr>
          <w:rFonts w:hint="eastAsia" w:ascii="仿宋_GB2312" w:hAnsi="微软雅黑" w:eastAsia="仿宋_GB2312" w:cs="微软雅黑"/>
          <w:color w:val="000000" w:themeColor="text1"/>
          <w:kern w:val="0"/>
          <w:sz w:val="32"/>
          <w:szCs w:val="32"/>
        </w:rPr>
        <w:t>学院现有本部校区和滨海校区。本部校区坐落在华亭山山麓，毗邻温州南动车站和轻轨S1线，交通便利，景色宜人；滨海校区位于东海之滨的温州滨海新区，环境幽雅，设施齐全。</w:t>
      </w:r>
    </w:p>
    <w:p>
      <w:pPr>
        <w:widowControl/>
        <w:adjustRightInd w:val="0"/>
        <w:snapToGrid w:val="0"/>
        <w:spacing w:afterLines="100" w:line="600" w:lineRule="exact"/>
        <w:jc w:val="center"/>
        <w:rPr>
          <w:rFonts w:ascii="黑体" w:hAnsi="黑体" w:eastAsia="黑体" w:cs="微软雅黑"/>
          <w:b/>
          <w:bCs/>
          <w:color w:val="555555"/>
          <w:sz w:val="32"/>
          <w:szCs w:val="32"/>
        </w:rPr>
      </w:pPr>
      <w:r>
        <w:rPr>
          <w:rStyle w:val="8"/>
          <w:rFonts w:hint="eastAsia" w:ascii="黑体" w:hAnsi="黑体" w:eastAsia="黑体" w:cs="微软雅黑"/>
          <w:b w:val="0"/>
          <w:bCs/>
          <w:color w:val="000000"/>
          <w:kern w:val="0"/>
          <w:sz w:val="32"/>
          <w:szCs w:val="32"/>
        </w:rPr>
        <w:t>第三章</w:t>
      </w:r>
      <w:r>
        <w:rPr>
          <w:rStyle w:val="8"/>
          <w:rFonts w:hint="eastAsia" w:ascii="微软雅黑" w:hAnsi="微软雅黑" w:eastAsia="黑体" w:cs="微软雅黑"/>
          <w:b w:val="0"/>
          <w:bCs/>
          <w:color w:val="000000"/>
          <w:kern w:val="0"/>
          <w:sz w:val="32"/>
          <w:szCs w:val="32"/>
        </w:rPr>
        <w:t>   </w:t>
      </w:r>
      <w:r>
        <w:rPr>
          <w:rStyle w:val="8"/>
          <w:rFonts w:hint="eastAsia" w:ascii="黑体" w:hAnsi="黑体" w:eastAsia="黑体" w:cs="微软雅黑"/>
          <w:b w:val="0"/>
          <w:bCs/>
          <w:color w:val="000000"/>
          <w:kern w:val="0"/>
          <w:sz w:val="32"/>
          <w:szCs w:val="32"/>
        </w:rPr>
        <w:t xml:space="preserve"> 招生计划</w:t>
      </w:r>
    </w:p>
    <w:p>
      <w:pPr>
        <w:adjustRightInd w:val="0"/>
        <w:snapToGrid w:val="0"/>
        <w:spacing w:afterLines="100" w:line="600" w:lineRule="exact"/>
        <w:ind w:firstLine="640" w:firstLineChars="200"/>
        <w:jc w:val="left"/>
        <w:rPr>
          <w:rFonts w:ascii="仿宋_GB2312" w:hAnsi="微软雅黑" w:eastAsia="仿宋_GB2312" w:cs="微软雅黑"/>
          <w:sz w:val="32"/>
          <w:szCs w:val="32"/>
        </w:rPr>
      </w:pPr>
      <w:r>
        <w:rPr>
          <w:rFonts w:hint="eastAsia" w:ascii="仿宋_GB2312" w:hAnsi="微软雅黑" w:eastAsia="仿宋_GB2312" w:cs="微软雅黑"/>
          <w:color w:val="000000" w:themeColor="text1"/>
          <w:kern w:val="0"/>
          <w:sz w:val="32"/>
          <w:szCs w:val="32"/>
        </w:rPr>
        <w:t>第五条</w:t>
      </w:r>
      <w:r>
        <w:rPr>
          <w:rFonts w:hint="eastAsia" w:ascii="微软雅黑" w:hAnsi="微软雅黑" w:eastAsia="仿宋_GB2312" w:cs="微软雅黑"/>
          <w:color w:val="000000" w:themeColor="text1"/>
          <w:kern w:val="0"/>
          <w:sz w:val="32"/>
          <w:szCs w:val="32"/>
        </w:rPr>
        <w:t>  </w:t>
      </w:r>
      <w:r>
        <w:rPr>
          <w:rFonts w:hint="eastAsia" w:ascii="仿宋_GB2312" w:hAnsi="微软雅黑" w:eastAsia="仿宋_GB2312" w:cs="微软雅黑"/>
          <w:color w:val="000000" w:themeColor="text1"/>
          <w:kern w:val="0"/>
          <w:sz w:val="32"/>
          <w:szCs w:val="32"/>
        </w:rPr>
        <w:t xml:space="preserve"> </w:t>
      </w:r>
      <w:r>
        <w:rPr>
          <w:rFonts w:hint="eastAsia" w:ascii="仿宋_GB2312" w:hAnsi="微软雅黑" w:eastAsia="仿宋_GB2312" w:cs="微软雅黑"/>
          <w:color w:val="000000" w:themeColor="text1"/>
          <w:sz w:val="32"/>
          <w:szCs w:val="32"/>
        </w:rPr>
        <w:t>2019年面向</w:t>
      </w:r>
      <w:r>
        <w:rPr>
          <w:rFonts w:hint="eastAsia" w:ascii="仿宋_GB2312" w:hAnsi="仿宋_GB2312" w:eastAsia="仿宋_GB2312" w:cs="仿宋_GB2312"/>
          <w:sz w:val="32"/>
          <w:szCs w:val="32"/>
          <w:lang w:val="en-US" w:eastAsia="zh-CN"/>
        </w:rPr>
        <w:t>退役士兵高职扩招考生和下岗失业人员、农民工、新型职业农民等高职扩招考生</w:t>
      </w:r>
      <w:r>
        <w:rPr>
          <w:rFonts w:hint="eastAsia" w:ascii="仿宋_GB2312" w:hAnsi="微软雅黑" w:eastAsia="仿宋_GB2312" w:cs="微软雅黑"/>
          <w:color w:val="000000" w:themeColor="text1"/>
          <w:sz w:val="32"/>
          <w:szCs w:val="32"/>
        </w:rPr>
        <w:t>，招生计划和收费如下表：</w:t>
      </w:r>
    </w:p>
    <w:tbl>
      <w:tblPr>
        <w:tblStyle w:val="6"/>
        <w:tblW w:w="9125" w:type="dxa"/>
        <w:jc w:val="center"/>
        <w:tblInd w:w="108" w:type="dxa"/>
        <w:tblLayout w:type="fixed"/>
        <w:tblCellMar>
          <w:top w:w="0" w:type="dxa"/>
          <w:left w:w="108" w:type="dxa"/>
          <w:bottom w:w="0" w:type="dxa"/>
          <w:right w:w="108" w:type="dxa"/>
        </w:tblCellMar>
      </w:tblPr>
      <w:tblGrid>
        <w:gridCol w:w="2482"/>
        <w:gridCol w:w="2531"/>
        <w:gridCol w:w="1394"/>
        <w:gridCol w:w="2718"/>
      </w:tblGrid>
      <w:tr>
        <w:tblPrEx>
          <w:tblLayout w:type="fixed"/>
          <w:tblCellMar>
            <w:top w:w="0" w:type="dxa"/>
            <w:left w:w="108" w:type="dxa"/>
            <w:bottom w:w="0" w:type="dxa"/>
            <w:right w:w="108" w:type="dxa"/>
          </w:tblCellMar>
        </w:tblPrEx>
        <w:trPr>
          <w:trHeight w:val="575" w:hRule="exact"/>
          <w:jc w:val="center"/>
        </w:trPr>
        <w:tc>
          <w:tcPr>
            <w:tcW w:w="24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黑体" w:hAnsi="黑体" w:eastAsia="黑体" w:cs="微软雅黑"/>
                <w:kern w:val="0"/>
                <w:sz w:val="32"/>
              </w:rPr>
            </w:pPr>
            <w:r>
              <w:rPr>
                <w:rFonts w:hint="eastAsia" w:ascii="黑体" w:hAnsi="黑体" w:eastAsia="黑体" w:cs="微软雅黑"/>
                <w:kern w:val="0"/>
                <w:sz w:val="32"/>
              </w:rPr>
              <w:t>招生专业</w:t>
            </w:r>
          </w:p>
        </w:tc>
        <w:tc>
          <w:tcPr>
            <w:tcW w:w="253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黑体" w:hAnsi="黑体" w:eastAsia="黑体" w:cs="微软雅黑"/>
                <w:kern w:val="0"/>
                <w:sz w:val="32"/>
              </w:rPr>
            </w:pPr>
            <w:r>
              <w:rPr>
                <w:rFonts w:hint="eastAsia" w:ascii="黑体" w:hAnsi="黑体" w:eastAsia="黑体" w:cs="微软雅黑"/>
                <w:kern w:val="0"/>
                <w:sz w:val="32"/>
              </w:rPr>
              <w:t>招生计划（名）</w:t>
            </w:r>
          </w:p>
        </w:tc>
        <w:tc>
          <w:tcPr>
            <w:tcW w:w="13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黑体" w:hAnsi="黑体" w:eastAsia="黑体" w:cs="微软雅黑"/>
                <w:kern w:val="0"/>
                <w:sz w:val="32"/>
              </w:rPr>
            </w:pPr>
            <w:r>
              <w:rPr>
                <w:rFonts w:hint="eastAsia" w:ascii="黑体" w:hAnsi="黑体" w:eastAsia="黑体" w:cs="微软雅黑"/>
                <w:kern w:val="0"/>
                <w:sz w:val="32"/>
              </w:rPr>
              <w:t>学 制</w:t>
            </w:r>
          </w:p>
        </w:tc>
        <w:tc>
          <w:tcPr>
            <w:tcW w:w="271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黑体" w:hAnsi="黑体" w:eastAsia="黑体" w:cs="微软雅黑"/>
                <w:kern w:val="0"/>
                <w:sz w:val="32"/>
              </w:rPr>
            </w:pPr>
            <w:r>
              <w:rPr>
                <w:rFonts w:hint="eastAsia" w:ascii="黑体" w:hAnsi="黑体" w:eastAsia="黑体" w:cs="微软雅黑"/>
                <w:kern w:val="0"/>
                <w:sz w:val="32"/>
              </w:rPr>
              <w:t>学费（元/学年）</w:t>
            </w:r>
          </w:p>
        </w:tc>
      </w:tr>
      <w:tr>
        <w:tblPrEx>
          <w:tblLayout w:type="fixed"/>
          <w:tblCellMar>
            <w:top w:w="0" w:type="dxa"/>
            <w:left w:w="108" w:type="dxa"/>
            <w:bottom w:w="0" w:type="dxa"/>
            <w:right w:w="108" w:type="dxa"/>
          </w:tblCellMar>
        </w:tblPrEx>
        <w:trPr>
          <w:trHeight w:val="792" w:hRule="exact"/>
          <w:jc w:val="center"/>
        </w:trPr>
        <w:tc>
          <w:tcPr>
            <w:tcW w:w="24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仿宋_GB2312" w:hAnsi="微软雅黑" w:eastAsia="仿宋_GB2312" w:cs="微软雅黑"/>
                <w:kern w:val="0"/>
                <w:sz w:val="32"/>
              </w:rPr>
            </w:pPr>
            <w:r>
              <w:rPr>
                <w:rFonts w:hint="eastAsia" w:ascii="仿宋_GB2312" w:hAnsi="微软雅黑" w:eastAsia="仿宋_GB2312" w:cs="微软雅黑"/>
                <w:kern w:val="0"/>
                <w:sz w:val="32"/>
              </w:rPr>
              <w:t>安全防范技术</w:t>
            </w:r>
          </w:p>
        </w:tc>
        <w:tc>
          <w:tcPr>
            <w:tcW w:w="253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微软雅黑" w:eastAsia="仿宋_GB2312" w:cs="微软雅黑"/>
                <w:kern w:val="0"/>
                <w:sz w:val="32"/>
              </w:rPr>
            </w:pPr>
            <w:r>
              <w:rPr>
                <w:rFonts w:hint="eastAsia" w:ascii="仿宋_GB2312" w:hAnsi="微软雅黑" w:eastAsia="仿宋_GB2312" w:cs="微软雅黑"/>
                <w:kern w:val="0"/>
                <w:sz w:val="32"/>
              </w:rPr>
              <w:t>50</w:t>
            </w:r>
          </w:p>
        </w:tc>
        <w:tc>
          <w:tcPr>
            <w:tcW w:w="139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微软雅黑" w:eastAsia="仿宋_GB2312" w:cs="微软雅黑"/>
                <w:kern w:val="0"/>
                <w:sz w:val="32"/>
              </w:rPr>
            </w:pPr>
            <w:r>
              <w:rPr>
                <w:rFonts w:hint="eastAsia" w:ascii="仿宋_GB2312" w:hAnsi="微软雅黑" w:eastAsia="仿宋_GB2312" w:cs="微软雅黑"/>
                <w:kern w:val="0"/>
                <w:sz w:val="32"/>
              </w:rPr>
              <w:t>三</w:t>
            </w:r>
          </w:p>
        </w:tc>
        <w:tc>
          <w:tcPr>
            <w:tcW w:w="271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微软雅黑" w:eastAsia="仿宋_GB2312" w:cs="微软雅黑"/>
                <w:kern w:val="0"/>
                <w:sz w:val="32"/>
              </w:rPr>
            </w:pPr>
            <w:r>
              <w:rPr>
                <w:rFonts w:hint="eastAsia" w:ascii="仿宋_GB2312" w:hAnsi="微软雅黑" w:eastAsia="仿宋_GB2312" w:cs="微软雅黑"/>
                <w:kern w:val="0"/>
                <w:sz w:val="32"/>
              </w:rPr>
              <w:t>6900</w:t>
            </w:r>
          </w:p>
        </w:tc>
      </w:tr>
    </w:tbl>
    <w:p>
      <w:pPr>
        <w:widowControl/>
        <w:adjustRightInd w:val="0"/>
        <w:snapToGrid w:val="0"/>
        <w:spacing w:line="312" w:lineRule="auto"/>
        <w:ind w:firstLine="619"/>
        <w:rPr>
          <w:rFonts w:ascii="微软雅黑" w:hAnsi="微软雅黑" w:eastAsia="微软雅黑" w:cs="微软雅黑"/>
          <w:b/>
          <w:bCs/>
          <w:sz w:val="24"/>
        </w:rPr>
      </w:pPr>
      <w:r>
        <w:rPr>
          <w:rFonts w:hint="eastAsia" w:ascii="微软雅黑" w:hAnsi="微软雅黑" w:eastAsia="微软雅黑" w:cs="微软雅黑"/>
          <w:sz w:val="24"/>
        </w:rPr>
        <w:t xml:space="preserve">                   </w:t>
      </w:r>
      <w:r>
        <w:rPr>
          <w:rFonts w:hint="eastAsia" w:ascii="微软雅黑" w:hAnsi="微软雅黑" w:eastAsia="微软雅黑" w:cs="微软雅黑"/>
          <w:b/>
          <w:bCs/>
          <w:sz w:val="24"/>
        </w:rPr>
        <w:t xml:space="preserve"> </w:t>
      </w:r>
    </w:p>
    <w:p>
      <w:pPr>
        <w:widowControl/>
        <w:adjustRightInd w:val="0"/>
        <w:snapToGrid w:val="0"/>
        <w:spacing w:afterLines="100" w:line="600" w:lineRule="exact"/>
        <w:jc w:val="center"/>
        <w:rPr>
          <w:rStyle w:val="8"/>
          <w:rFonts w:ascii="黑体" w:hAnsi="黑体" w:eastAsia="黑体" w:cs="微软雅黑"/>
          <w:b w:val="0"/>
          <w:bCs/>
          <w:color w:val="000000"/>
          <w:kern w:val="0"/>
          <w:sz w:val="32"/>
          <w:szCs w:val="32"/>
        </w:rPr>
      </w:pPr>
      <w:r>
        <w:rPr>
          <w:rStyle w:val="8"/>
          <w:rFonts w:hint="eastAsia" w:ascii="黑体" w:hAnsi="黑体" w:eastAsia="黑体" w:cs="微软雅黑"/>
          <w:b w:val="0"/>
          <w:bCs/>
          <w:color w:val="000000"/>
          <w:kern w:val="0"/>
          <w:sz w:val="32"/>
          <w:szCs w:val="32"/>
        </w:rPr>
        <w:t>第四章</w:t>
      </w:r>
      <w:r>
        <w:rPr>
          <w:rStyle w:val="8"/>
          <w:rFonts w:hint="eastAsia" w:ascii="微软雅黑" w:hAnsi="微软雅黑" w:eastAsia="黑体" w:cs="微软雅黑"/>
          <w:b w:val="0"/>
          <w:bCs/>
          <w:color w:val="000000"/>
          <w:kern w:val="0"/>
          <w:sz w:val="32"/>
          <w:szCs w:val="32"/>
        </w:rPr>
        <w:t> </w:t>
      </w:r>
      <w:r>
        <w:rPr>
          <w:rStyle w:val="8"/>
          <w:rFonts w:hint="eastAsia" w:ascii="黑体" w:hAnsi="黑体" w:eastAsia="黑体" w:cs="微软雅黑"/>
          <w:b w:val="0"/>
          <w:bCs/>
          <w:color w:val="000000"/>
          <w:kern w:val="0"/>
          <w:sz w:val="32"/>
          <w:szCs w:val="32"/>
        </w:rPr>
        <w:t xml:space="preserve">   报考与测试</w:t>
      </w:r>
    </w:p>
    <w:p>
      <w:pPr>
        <w:pStyle w:val="5"/>
        <w:widowControl/>
        <w:adjustRightInd w:val="0"/>
        <w:snapToGrid w:val="0"/>
        <w:spacing w:beforeAutospacing="0" w:afterAutospacing="0" w:line="600" w:lineRule="exact"/>
        <w:ind w:firstLine="640" w:firstLineChars="200"/>
        <w:rPr>
          <w:rFonts w:hint="eastAsia" w:ascii="仿宋_GB2312" w:hAnsi="微软雅黑" w:eastAsia="仿宋_GB2312" w:cs="微软雅黑"/>
          <w:color w:val="000000" w:themeColor="text1"/>
          <w:sz w:val="32"/>
          <w:szCs w:val="32"/>
        </w:rPr>
      </w:pPr>
      <w:r>
        <w:rPr>
          <w:rFonts w:hint="eastAsia" w:ascii="微软雅黑" w:hAnsi="微软雅黑" w:eastAsia="仿宋_GB2312" w:cs="微软雅黑"/>
          <w:color w:val="000000" w:themeColor="text1"/>
          <w:sz w:val="32"/>
          <w:szCs w:val="32"/>
        </w:rPr>
        <w:t> </w:t>
      </w:r>
      <w:r>
        <w:rPr>
          <w:rFonts w:hint="eastAsia" w:ascii="仿宋_GB2312" w:hAnsi="微软雅黑" w:eastAsia="仿宋_GB2312" w:cs="微软雅黑"/>
          <w:color w:val="000000" w:themeColor="text1"/>
          <w:sz w:val="32"/>
          <w:szCs w:val="32"/>
        </w:rPr>
        <w:t xml:space="preserve"> 第六条</w:t>
      </w:r>
      <w:r>
        <w:rPr>
          <w:rFonts w:hint="eastAsia" w:ascii="微软雅黑" w:hAnsi="微软雅黑" w:eastAsia="仿宋_GB2312" w:cs="微软雅黑"/>
          <w:color w:val="000000" w:themeColor="text1"/>
          <w:sz w:val="32"/>
          <w:szCs w:val="32"/>
        </w:rPr>
        <w:t> </w:t>
      </w:r>
      <w:r>
        <w:rPr>
          <w:rFonts w:hint="eastAsia" w:ascii="仿宋_GB2312" w:hAnsi="微软雅黑" w:eastAsia="仿宋_GB2312" w:cs="微软雅黑"/>
          <w:color w:val="000000" w:themeColor="text1"/>
          <w:sz w:val="32"/>
          <w:szCs w:val="32"/>
        </w:rPr>
        <w:t xml:space="preserve"> 考生于7月9-10日通过省教育考试院志愿填报平台（www.zjzs.net)填报志愿</w:t>
      </w:r>
      <w:r>
        <w:rPr>
          <w:rFonts w:hint="eastAsia" w:ascii="仿宋_GB2312" w:hAnsi="微软雅黑" w:eastAsia="仿宋_GB2312" w:cs="微软雅黑"/>
          <w:color w:val="000000" w:themeColor="text1"/>
          <w:sz w:val="32"/>
          <w:szCs w:val="32"/>
          <w:lang w:eastAsia="zh-CN"/>
        </w:rPr>
        <w:t>，</w:t>
      </w:r>
      <w:r>
        <w:rPr>
          <w:rFonts w:hint="eastAsia" w:ascii="仿宋_GB2312" w:hAnsi="微软雅黑" w:eastAsia="仿宋_GB2312" w:cs="微软雅黑"/>
          <w:color w:val="000000" w:themeColor="text1"/>
          <w:sz w:val="32"/>
          <w:szCs w:val="32"/>
        </w:rPr>
        <w:t>考生可填报我院一个专业。</w:t>
      </w:r>
    </w:p>
    <w:p>
      <w:pPr>
        <w:pStyle w:val="5"/>
        <w:widowControl/>
        <w:adjustRightInd w:val="0"/>
        <w:snapToGrid w:val="0"/>
        <w:spacing w:beforeAutospacing="0" w:afterAutospacing="0" w:line="600" w:lineRule="exact"/>
        <w:ind w:firstLine="640" w:firstLineChars="200"/>
        <w:rPr>
          <w:rFonts w:ascii="仿宋_GB2312" w:hAnsi="微软雅黑" w:eastAsia="仿宋_GB2312" w:cs="微软雅黑"/>
          <w:color w:val="000000" w:themeColor="text1"/>
          <w:sz w:val="32"/>
          <w:szCs w:val="32"/>
        </w:rPr>
      </w:pPr>
      <w:r>
        <w:rPr>
          <w:rFonts w:hint="eastAsia" w:ascii="仿宋_GB2312" w:hAnsi="微软雅黑" w:eastAsia="仿宋_GB2312" w:cs="微软雅黑"/>
          <w:color w:val="000000" w:themeColor="text1"/>
          <w:sz w:val="32"/>
          <w:szCs w:val="32"/>
        </w:rPr>
        <w:t xml:space="preserve"> 第七条  测试形式：</w:t>
      </w:r>
    </w:p>
    <w:p>
      <w:pPr>
        <w:pStyle w:val="5"/>
        <w:widowControl/>
        <w:adjustRightInd w:val="0"/>
        <w:snapToGrid w:val="0"/>
        <w:spacing w:beforeAutospacing="0" w:afterAutospacing="0" w:line="60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1、现场确认：报考成功的考生必须携带身份证于2019年7月14日上午8:30-11:30到我院报到，并交纳报名费140元/人，领取收据和准考证。（未在规定时间内来确认和缴费考生视为自动放弃资格）。</w:t>
      </w:r>
    </w:p>
    <w:p>
      <w:pPr>
        <w:pStyle w:val="5"/>
        <w:widowControl/>
        <w:adjustRightInd w:val="0"/>
        <w:snapToGrid w:val="0"/>
        <w:spacing w:beforeAutospacing="0" w:afterAutospacing="0" w:line="60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2、测试时间：2019年7月14日下午1:30-16:30。（必须带身份证和准考证）</w:t>
      </w:r>
    </w:p>
    <w:p>
      <w:pPr>
        <w:pStyle w:val="5"/>
        <w:widowControl/>
        <w:adjustRightInd w:val="0"/>
        <w:snapToGrid w:val="0"/>
        <w:spacing w:beforeAutospacing="0" w:afterAutospacing="0" w:line="60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3、测试形式：由学校组织测试，满分100分。测试分为：面试测试占50%，体能测试占50%。</w:t>
      </w:r>
    </w:p>
    <w:p>
      <w:pPr>
        <w:adjustRightInd w:val="0"/>
        <w:snapToGrid w:val="0"/>
        <w:spacing w:line="600" w:lineRule="exact"/>
        <w:ind w:firstLine="640" w:firstLineChars="200"/>
        <w:rPr>
          <w:rFonts w:ascii="仿宋_GB2312" w:hAnsi="微软雅黑" w:eastAsia="仿宋_GB2312" w:cs="微软雅黑"/>
          <w:color w:val="000000"/>
          <w:sz w:val="32"/>
          <w:szCs w:val="32"/>
        </w:rPr>
      </w:pPr>
      <w:r>
        <w:rPr>
          <w:rFonts w:hint="eastAsia" w:ascii="仿宋_GB2312" w:hAnsi="微软雅黑" w:eastAsia="仿宋_GB2312" w:cs="微软雅黑"/>
          <w:color w:val="000000"/>
          <w:sz w:val="32"/>
          <w:szCs w:val="32"/>
        </w:rPr>
        <w:t>（1）面试内容（50分）</w:t>
      </w:r>
    </w:p>
    <w:p>
      <w:pPr>
        <w:adjustRightInd w:val="0"/>
        <w:snapToGrid w:val="0"/>
        <w:spacing w:line="60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color w:val="000000"/>
          <w:sz w:val="32"/>
          <w:szCs w:val="32"/>
        </w:rPr>
        <w:t>①</w:t>
      </w:r>
      <w:r>
        <w:rPr>
          <w:rFonts w:hint="eastAsia" w:ascii="仿宋_GB2312" w:hAnsi="微软雅黑" w:eastAsia="仿宋_GB2312" w:cs="微软雅黑"/>
          <w:sz w:val="32"/>
          <w:szCs w:val="32"/>
        </w:rPr>
        <w:t>热爱祖国、遵纪守法、社会责任感强；</w:t>
      </w:r>
    </w:p>
    <w:p>
      <w:pPr>
        <w:adjustRightInd w:val="0"/>
        <w:snapToGrid w:val="0"/>
        <w:spacing w:line="60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②已掌握的计算机基础知识程度与专业相关能力；</w:t>
      </w:r>
    </w:p>
    <w:p>
      <w:pPr>
        <w:adjustRightInd w:val="0"/>
        <w:snapToGrid w:val="0"/>
        <w:spacing w:line="60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③语言表达能力和沟通能力；</w:t>
      </w:r>
    </w:p>
    <w:p>
      <w:pPr>
        <w:adjustRightInd w:val="0"/>
        <w:snapToGrid w:val="0"/>
        <w:spacing w:line="60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④心理调节能力和适应能力；</w:t>
      </w:r>
    </w:p>
    <w:p>
      <w:pPr>
        <w:adjustRightInd w:val="0"/>
        <w:snapToGrid w:val="0"/>
        <w:spacing w:line="60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⑤职业兴趣；</w:t>
      </w:r>
    </w:p>
    <w:p>
      <w:pPr>
        <w:adjustRightInd w:val="0"/>
        <w:snapToGrid w:val="0"/>
        <w:spacing w:line="60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⑥形象气质。</w:t>
      </w:r>
    </w:p>
    <w:p>
      <w:pPr>
        <w:adjustRightInd w:val="0"/>
        <w:snapToGrid w:val="0"/>
        <w:spacing w:line="600" w:lineRule="exact"/>
        <w:ind w:firstLine="640" w:firstLineChars="200"/>
        <w:rPr>
          <w:rFonts w:ascii="仿宋_GB2312" w:hAnsi="微软雅黑" w:eastAsia="仿宋_GB2312" w:cs="微软雅黑"/>
          <w:color w:val="000000"/>
          <w:sz w:val="32"/>
          <w:szCs w:val="32"/>
        </w:rPr>
      </w:pPr>
      <w:r>
        <w:rPr>
          <w:rFonts w:hint="eastAsia" w:ascii="仿宋_GB2312" w:hAnsi="微软雅黑" w:eastAsia="仿宋_GB2312" w:cs="微软雅黑"/>
          <w:color w:val="000000"/>
          <w:sz w:val="32"/>
          <w:szCs w:val="32"/>
        </w:rPr>
        <w:t>（2）体质测试内容（50分）</w:t>
      </w:r>
    </w:p>
    <w:p>
      <w:pPr>
        <w:adjustRightInd w:val="0"/>
        <w:snapToGrid w:val="0"/>
        <w:spacing w:line="600" w:lineRule="exact"/>
        <w:ind w:firstLine="640" w:firstLineChars="200"/>
        <w:rPr>
          <w:rFonts w:ascii="仿宋_GB2312" w:hAnsi="微软雅黑" w:eastAsia="仿宋_GB2312" w:cs="微软雅黑"/>
          <w:color w:val="000000"/>
          <w:sz w:val="32"/>
          <w:szCs w:val="32"/>
        </w:rPr>
      </w:pPr>
      <w:r>
        <w:rPr>
          <w:rFonts w:hint="eastAsia" w:ascii="仿宋_GB2312" w:hAnsi="微软雅黑" w:eastAsia="仿宋_GB2312" w:cs="微软雅黑"/>
          <w:color w:val="000000"/>
          <w:sz w:val="32"/>
          <w:szCs w:val="32"/>
        </w:rPr>
        <w:t>男：1000米跑（25分）、跳远（25分）</w:t>
      </w:r>
    </w:p>
    <w:p>
      <w:pPr>
        <w:adjustRightInd w:val="0"/>
        <w:snapToGrid w:val="0"/>
        <w:spacing w:line="600" w:lineRule="exact"/>
        <w:ind w:firstLine="640" w:firstLineChars="200"/>
        <w:rPr>
          <w:rFonts w:ascii="仿宋_GB2312" w:hAnsi="微软雅黑" w:eastAsia="仿宋_GB2312" w:cs="微软雅黑"/>
          <w:color w:val="000000"/>
          <w:sz w:val="32"/>
          <w:szCs w:val="32"/>
        </w:rPr>
      </w:pPr>
      <w:r>
        <w:rPr>
          <w:rFonts w:hint="eastAsia" w:ascii="仿宋_GB2312" w:hAnsi="微软雅黑" w:eastAsia="仿宋_GB2312" w:cs="微软雅黑"/>
          <w:color w:val="000000"/>
          <w:sz w:val="32"/>
          <w:szCs w:val="32"/>
        </w:rPr>
        <w:t>女： 800米跑（25分）、跳远（25分）</w:t>
      </w:r>
    </w:p>
    <w:p>
      <w:pPr>
        <w:adjustRightInd w:val="0"/>
        <w:snapToGrid w:val="0"/>
        <w:spacing w:line="600" w:lineRule="exact"/>
        <w:ind w:firstLine="635" w:firstLineChars="200"/>
        <w:rPr>
          <w:rFonts w:ascii="仿宋_GB2312" w:hAnsi="微软雅黑" w:eastAsia="仿宋_GB2312" w:cs="微软雅黑"/>
          <w:b/>
          <w:bCs/>
          <w:color w:val="000000"/>
          <w:spacing w:val="-2"/>
          <w:sz w:val="32"/>
          <w:szCs w:val="32"/>
        </w:rPr>
      </w:pPr>
      <w:r>
        <w:rPr>
          <w:rFonts w:hint="eastAsia" w:ascii="仿宋_GB2312" w:hAnsi="微软雅黑" w:eastAsia="仿宋_GB2312" w:cs="微软雅黑"/>
          <w:b/>
          <w:bCs/>
          <w:color w:val="000000"/>
          <w:spacing w:val="-2"/>
          <w:sz w:val="32"/>
          <w:szCs w:val="32"/>
        </w:rPr>
        <w:t>（注：得分标准参考“大学生体质健康测试”赋分表进行</w:t>
      </w:r>
      <w:r>
        <w:rPr>
          <w:rFonts w:hint="eastAsia" w:ascii="仿宋_GB2312" w:hAnsi="微软雅黑" w:eastAsia="仿宋_GB2312" w:cs="微软雅黑"/>
          <w:b/>
          <w:bCs/>
          <w:spacing w:val="-2"/>
          <w:sz w:val="32"/>
          <w:szCs w:val="32"/>
        </w:rPr>
        <w:t>折算</w:t>
      </w:r>
      <w:r>
        <w:rPr>
          <w:rFonts w:hint="eastAsia" w:ascii="仿宋_GB2312" w:hAnsi="微软雅黑" w:eastAsia="仿宋_GB2312" w:cs="微软雅黑"/>
          <w:b/>
          <w:bCs/>
          <w:color w:val="000000"/>
          <w:spacing w:val="-2"/>
          <w:sz w:val="32"/>
          <w:szCs w:val="32"/>
        </w:rPr>
        <w:t>）</w:t>
      </w:r>
    </w:p>
    <w:p>
      <w:pPr>
        <w:pStyle w:val="5"/>
        <w:widowControl/>
        <w:numPr>
          <w:ilvl w:val="0"/>
          <w:numId w:val="1"/>
        </w:numPr>
        <w:adjustRightInd w:val="0"/>
        <w:snapToGrid w:val="0"/>
        <w:spacing w:beforeAutospacing="0" w:afterAutospacing="0" w:line="600" w:lineRule="exact"/>
        <w:ind w:left="0" w:firstLine="640" w:firstLineChars="200"/>
        <w:rPr>
          <w:rFonts w:ascii="仿宋_GB2312" w:hAnsi="微软雅黑" w:eastAsia="仿宋_GB2312" w:cs="微软雅黑"/>
          <w:color w:val="000000" w:themeColor="text1"/>
          <w:sz w:val="32"/>
          <w:szCs w:val="32"/>
        </w:rPr>
      </w:pPr>
      <w:r>
        <w:rPr>
          <w:rFonts w:hint="eastAsia" w:ascii="仿宋_GB2312" w:hAnsi="微软雅黑" w:eastAsia="仿宋_GB2312" w:cs="微软雅黑"/>
          <w:color w:val="000000" w:themeColor="text1"/>
          <w:sz w:val="32"/>
          <w:szCs w:val="32"/>
        </w:rPr>
        <w:t xml:space="preserve"> 考生被确认报名有效后，符合申请免试或加分条件：</w:t>
      </w:r>
    </w:p>
    <w:p>
      <w:pPr>
        <w:pStyle w:val="5"/>
        <w:widowControl/>
        <w:adjustRightInd w:val="0"/>
        <w:snapToGrid w:val="0"/>
        <w:spacing w:beforeAutospacing="0" w:afterLines="100" w:afterAutospacing="0" w:line="600" w:lineRule="exact"/>
        <w:ind w:firstLine="640" w:firstLineChars="200"/>
        <w:rPr>
          <w:rFonts w:ascii="仿宋_GB2312" w:hAnsi="微软雅黑" w:eastAsia="仿宋_GB2312" w:cs="微软雅黑"/>
          <w:color w:val="000000" w:themeColor="text1"/>
          <w:sz w:val="32"/>
          <w:szCs w:val="32"/>
        </w:rPr>
      </w:pPr>
      <w:r>
        <w:rPr>
          <w:rFonts w:hint="eastAsia" w:ascii="仿宋_GB2312" w:hAnsi="微软雅黑" w:eastAsia="仿宋_GB2312" w:cs="微软雅黑"/>
          <w:color w:val="000000" w:themeColor="text1"/>
          <w:sz w:val="32"/>
          <w:szCs w:val="32"/>
        </w:rPr>
        <w:t>1、符合下列条件之一可提出申请免试入学，由学院招生领导小组审核确认。</w:t>
      </w:r>
    </w:p>
    <w:tbl>
      <w:tblPr>
        <w:tblStyle w:val="6"/>
        <w:tblW w:w="9245"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16"/>
        <w:gridCol w:w="3818"/>
        <w:gridCol w:w="3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2016" w:type="dxa"/>
            <w:vAlign w:val="center"/>
          </w:tcPr>
          <w:p>
            <w:pPr>
              <w:pStyle w:val="15"/>
              <w:adjustRightInd w:val="0"/>
              <w:snapToGrid w:val="0"/>
              <w:spacing w:before="0"/>
              <w:rPr>
                <w:rFonts w:ascii="微软雅黑" w:hAnsi="微软雅黑" w:eastAsia="微软雅黑" w:cs="微软雅黑"/>
                <w:b/>
                <w:sz w:val="24"/>
              </w:rPr>
            </w:pPr>
            <w:r>
              <w:rPr>
                <w:rFonts w:hint="eastAsia" w:ascii="微软雅黑" w:hAnsi="微软雅黑" w:eastAsia="微软雅黑" w:cs="微软雅黑"/>
                <w:b/>
                <w:sz w:val="24"/>
              </w:rPr>
              <w:t>项 目</w:t>
            </w:r>
          </w:p>
        </w:tc>
        <w:tc>
          <w:tcPr>
            <w:tcW w:w="3818" w:type="dxa"/>
            <w:vAlign w:val="center"/>
          </w:tcPr>
          <w:p>
            <w:pPr>
              <w:pStyle w:val="15"/>
              <w:adjustRightInd w:val="0"/>
              <w:snapToGrid w:val="0"/>
              <w:spacing w:before="0"/>
              <w:rPr>
                <w:rFonts w:ascii="微软雅黑" w:hAnsi="微软雅黑" w:eastAsia="微软雅黑" w:cs="微软雅黑"/>
                <w:b/>
                <w:sz w:val="24"/>
              </w:rPr>
            </w:pPr>
            <w:r>
              <w:rPr>
                <w:rFonts w:hint="eastAsia" w:ascii="微软雅黑" w:hAnsi="微软雅黑" w:eastAsia="微软雅黑" w:cs="微软雅黑"/>
                <w:b/>
                <w:sz w:val="24"/>
              </w:rPr>
              <w:t>等 级</w:t>
            </w:r>
          </w:p>
        </w:tc>
        <w:tc>
          <w:tcPr>
            <w:tcW w:w="3411" w:type="dxa"/>
            <w:vAlign w:val="center"/>
          </w:tcPr>
          <w:p>
            <w:pPr>
              <w:pStyle w:val="15"/>
              <w:adjustRightInd w:val="0"/>
              <w:snapToGrid w:val="0"/>
              <w:spacing w:before="0"/>
              <w:rPr>
                <w:rFonts w:ascii="微软雅黑" w:hAnsi="微软雅黑" w:eastAsia="微软雅黑" w:cs="微软雅黑"/>
                <w:b/>
                <w:sz w:val="24"/>
              </w:rPr>
            </w:pPr>
            <w:r>
              <w:rPr>
                <w:rFonts w:hint="eastAsia" w:ascii="微软雅黑" w:hAnsi="微软雅黑" w:eastAsia="微软雅黑" w:cs="微软雅黑"/>
                <w:b/>
                <w:sz w:val="24"/>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exact"/>
        </w:trPr>
        <w:tc>
          <w:tcPr>
            <w:tcW w:w="2016" w:type="dxa"/>
            <w:vAlign w:val="center"/>
          </w:tcPr>
          <w:p>
            <w:pPr>
              <w:pStyle w:val="15"/>
              <w:adjustRightInd w:val="0"/>
              <w:snapToGrid w:val="0"/>
              <w:spacing w:before="0"/>
              <w:rPr>
                <w:rFonts w:ascii="宋体" w:hAnsi="宋体" w:eastAsia="宋体" w:cs="微软雅黑"/>
                <w:sz w:val="28"/>
              </w:rPr>
            </w:pPr>
            <w:r>
              <w:rPr>
                <w:rFonts w:hint="eastAsia" w:ascii="宋体" w:hAnsi="宋体" w:eastAsia="宋体" w:cs="微软雅黑"/>
                <w:sz w:val="28"/>
              </w:rPr>
              <w:t>职工技能比武</w:t>
            </w:r>
          </w:p>
        </w:tc>
        <w:tc>
          <w:tcPr>
            <w:tcW w:w="3818" w:type="dxa"/>
            <w:vAlign w:val="center"/>
          </w:tcPr>
          <w:p>
            <w:pPr>
              <w:pStyle w:val="15"/>
              <w:adjustRightInd w:val="0"/>
              <w:snapToGrid w:val="0"/>
              <w:spacing w:before="0"/>
              <w:rPr>
                <w:rFonts w:ascii="宋体" w:hAnsi="宋体" w:eastAsia="宋体" w:cs="微软雅黑"/>
                <w:sz w:val="28"/>
              </w:rPr>
            </w:pPr>
            <w:r>
              <w:rPr>
                <w:rFonts w:hint="eastAsia" w:ascii="宋体" w:hAnsi="宋体" w:eastAsia="宋体" w:cs="微软雅黑"/>
                <w:sz w:val="28"/>
              </w:rPr>
              <w:t>浙江省一、二、三等奖</w:t>
            </w:r>
          </w:p>
        </w:tc>
        <w:tc>
          <w:tcPr>
            <w:tcW w:w="3411" w:type="dxa"/>
            <w:vAlign w:val="center"/>
          </w:tcPr>
          <w:p>
            <w:pPr>
              <w:pStyle w:val="15"/>
              <w:adjustRightInd w:val="0"/>
              <w:snapToGrid w:val="0"/>
              <w:spacing w:before="0"/>
              <w:rPr>
                <w:rFonts w:ascii="宋体" w:hAnsi="宋体" w:eastAsia="宋体" w:cs="微软雅黑"/>
                <w:sz w:val="28"/>
              </w:rPr>
            </w:pPr>
            <w:r>
              <w:rPr>
                <w:rFonts w:hint="eastAsia" w:ascii="宋体" w:hAnsi="宋体" w:eastAsia="宋体" w:cs="微软雅黑"/>
                <w:sz w:val="28"/>
              </w:rPr>
              <w:t>限劳动主管部门组织的且与报考专业相关项目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exact"/>
        </w:trPr>
        <w:tc>
          <w:tcPr>
            <w:tcW w:w="2016" w:type="dxa"/>
            <w:vAlign w:val="center"/>
          </w:tcPr>
          <w:p>
            <w:pPr>
              <w:widowControl/>
              <w:adjustRightInd w:val="0"/>
              <w:snapToGrid w:val="0"/>
              <w:jc w:val="center"/>
              <w:rPr>
                <w:rFonts w:ascii="宋体" w:hAnsi="宋体" w:eastAsia="宋体" w:cs="微软雅黑"/>
                <w:sz w:val="28"/>
              </w:rPr>
            </w:pPr>
            <w:r>
              <w:rPr>
                <w:rFonts w:hint="eastAsia" w:ascii="宋体" w:hAnsi="宋体" w:eastAsia="宋体" w:cs="微软雅黑"/>
                <w:color w:val="000000" w:themeColor="text1"/>
                <w:kern w:val="0"/>
                <w:sz w:val="28"/>
              </w:rPr>
              <w:t>职业技能证书</w:t>
            </w:r>
          </w:p>
        </w:tc>
        <w:tc>
          <w:tcPr>
            <w:tcW w:w="3818" w:type="dxa"/>
            <w:vAlign w:val="center"/>
          </w:tcPr>
          <w:p>
            <w:pPr>
              <w:widowControl/>
              <w:adjustRightInd w:val="0"/>
              <w:snapToGrid w:val="0"/>
              <w:jc w:val="center"/>
              <w:rPr>
                <w:rFonts w:ascii="宋体" w:hAnsi="宋体" w:eastAsia="宋体" w:cs="微软雅黑"/>
                <w:sz w:val="28"/>
              </w:rPr>
            </w:pPr>
            <w:r>
              <w:rPr>
                <w:rFonts w:hint="eastAsia" w:ascii="宋体" w:hAnsi="宋体" w:eastAsia="宋体" w:cs="微软雅黑"/>
                <w:bCs/>
                <w:color w:val="000000" w:themeColor="text1"/>
                <w:kern w:val="0"/>
                <w:sz w:val="28"/>
              </w:rPr>
              <w:t>高级工及以上</w:t>
            </w:r>
          </w:p>
        </w:tc>
        <w:tc>
          <w:tcPr>
            <w:tcW w:w="3411" w:type="dxa"/>
            <w:vAlign w:val="center"/>
          </w:tcPr>
          <w:p>
            <w:pPr>
              <w:widowControl/>
              <w:adjustRightInd w:val="0"/>
              <w:snapToGrid w:val="0"/>
              <w:jc w:val="center"/>
              <w:rPr>
                <w:rFonts w:ascii="宋体" w:hAnsi="宋体" w:eastAsia="宋体" w:cs="微软雅黑"/>
                <w:sz w:val="28"/>
              </w:rPr>
            </w:pPr>
            <w:r>
              <w:rPr>
                <w:rFonts w:hint="eastAsia" w:ascii="宋体" w:hAnsi="宋体" w:eastAsia="宋体" w:cs="微软雅黑"/>
                <w:bCs/>
                <w:color w:val="000000" w:themeColor="text1"/>
                <w:kern w:val="0"/>
                <w:sz w:val="28"/>
              </w:rPr>
              <w:t>限政府劳动保障部门核发且与报考专业相关证书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exact"/>
        </w:trPr>
        <w:tc>
          <w:tcPr>
            <w:tcW w:w="2016" w:type="dxa"/>
            <w:vMerge w:val="restart"/>
            <w:vAlign w:val="center"/>
          </w:tcPr>
          <w:p>
            <w:pPr>
              <w:pStyle w:val="15"/>
              <w:adjustRightInd w:val="0"/>
              <w:snapToGrid w:val="0"/>
              <w:spacing w:before="0"/>
              <w:ind w:firstLine="280" w:firstLineChars="100"/>
              <w:rPr>
                <w:rFonts w:ascii="宋体" w:hAnsi="宋体" w:eastAsia="宋体" w:cs="微软雅黑"/>
                <w:sz w:val="28"/>
                <w:lang w:val="en-US"/>
              </w:rPr>
            </w:pPr>
            <w:r>
              <w:rPr>
                <w:rFonts w:hint="eastAsia" w:ascii="宋体" w:hAnsi="宋体" w:eastAsia="宋体" w:cs="微软雅黑"/>
                <w:sz w:val="28"/>
                <w:lang w:val="en-US"/>
              </w:rPr>
              <w:t>体育项目</w:t>
            </w:r>
          </w:p>
        </w:tc>
        <w:tc>
          <w:tcPr>
            <w:tcW w:w="3818" w:type="dxa"/>
            <w:vAlign w:val="center"/>
          </w:tcPr>
          <w:p>
            <w:pPr>
              <w:widowControl/>
              <w:adjustRightInd w:val="0"/>
              <w:snapToGrid w:val="0"/>
              <w:jc w:val="center"/>
              <w:rPr>
                <w:rFonts w:ascii="宋体" w:hAnsi="宋体" w:eastAsia="宋体" w:cs="微软雅黑"/>
                <w:sz w:val="28"/>
              </w:rPr>
            </w:pPr>
            <w:r>
              <w:rPr>
                <w:rFonts w:hint="eastAsia" w:ascii="宋体" w:hAnsi="宋体" w:eastAsia="宋体" w:cs="微软雅黑"/>
                <w:kern w:val="0"/>
                <w:sz w:val="28"/>
              </w:rPr>
              <w:t>国家等级运动员一级</w:t>
            </w:r>
          </w:p>
        </w:tc>
        <w:tc>
          <w:tcPr>
            <w:tcW w:w="3411" w:type="dxa"/>
            <w:vAlign w:val="center"/>
          </w:tcPr>
          <w:p>
            <w:pPr>
              <w:pStyle w:val="15"/>
              <w:adjustRightInd w:val="0"/>
              <w:snapToGrid w:val="0"/>
              <w:spacing w:before="0"/>
              <w:rPr>
                <w:rFonts w:ascii="宋体" w:hAnsi="宋体" w:eastAsia="宋体" w:cs="微软雅黑"/>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exact"/>
        </w:trPr>
        <w:tc>
          <w:tcPr>
            <w:tcW w:w="2016" w:type="dxa"/>
            <w:vMerge w:val="continue"/>
            <w:vAlign w:val="center"/>
          </w:tcPr>
          <w:p>
            <w:pPr>
              <w:pStyle w:val="15"/>
              <w:adjustRightInd w:val="0"/>
              <w:snapToGrid w:val="0"/>
              <w:spacing w:before="0"/>
              <w:ind w:firstLine="280" w:firstLineChars="100"/>
              <w:rPr>
                <w:rFonts w:ascii="宋体" w:hAnsi="宋体" w:eastAsia="宋体" w:cs="微软雅黑"/>
                <w:sz w:val="28"/>
                <w:lang w:val="en-US"/>
              </w:rPr>
            </w:pPr>
          </w:p>
        </w:tc>
        <w:tc>
          <w:tcPr>
            <w:tcW w:w="3818" w:type="dxa"/>
            <w:vAlign w:val="center"/>
          </w:tcPr>
          <w:p>
            <w:pPr>
              <w:widowControl/>
              <w:adjustRightInd w:val="0"/>
              <w:snapToGrid w:val="0"/>
              <w:jc w:val="center"/>
              <w:rPr>
                <w:rFonts w:ascii="宋体" w:hAnsi="宋体" w:eastAsia="宋体" w:cs="微软雅黑"/>
                <w:sz w:val="28"/>
              </w:rPr>
            </w:pPr>
            <w:r>
              <w:rPr>
                <w:rFonts w:hint="eastAsia" w:ascii="宋体" w:hAnsi="宋体" w:eastAsia="宋体" w:cs="微软雅黑"/>
                <w:kern w:val="0"/>
                <w:sz w:val="28"/>
              </w:rPr>
              <w:t>国家等级运动员二级</w:t>
            </w:r>
          </w:p>
        </w:tc>
        <w:tc>
          <w:tcPr>
            <w:tcW w:w="3411" w:type="dxa"/>
            <w:vAlign w:val="center"/>
          </w:tcPr>
          <w:p>
            <w:pPr>
              <w:pStyle w:val="15"/>
              <w:adjustRightInd w:val="0"/>
              <w:snapToGrid w:val="0"/>
              <w:spacing w:before="0"/>
              <w:rPr>
                <w:rFonts w:ascii="宋体" w:hAnsi="宋体" w:eastAsia="宋体" w:cs="微软雅黑"/>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exact"/>
        </w:trPr>
        <w:tc>
          <w:tcPr>
            <w:tcW w:w="2016" w:type="dxa"/>
            <w:vMerge w:val="continue"/>
            <w:vAlign w:val="center"/>
          </w:tcPr>
          <w:p>
            <w:pPr>
              <w:pStyle w:val="15"/>
              <w:adjustRightInd w:val="0"/>
              <w:snapToGrid w:val="0"/>
              <w:spacing w:before="0"/>
              <w:ind w:firstLine="280" w:firstLineChars="100"/>
              <w:rPr>
                <w:rFonts w:ascii="宋体" w:hAnsi="宋体" w:eastAsia="宋体" w:cs="微软雅黑"/>
                <w:sz w:val="28"/>
                <w:lang w:val="en-US"/>
              </w:rPr>
            </w:pPr>
          </w:p>
        </w:tc>
        <w:tc>
          <w:tcPr>
            <w:tcW w:w="3818" w:type="dxa"/>
            <w:vAlign w:val="center"/>
          </w:tcPr>
          <w:p>
            <w:pPr>
              <w:widowControl/>
              <w:adjustRightInd w:val="0"/>
              <w:snapToGrid w:val="0"/>
              <w:jc w:val="center"/>
              <w:rPr>
                <w:rFonts w:ascii="宋体" w:hAnsi="宋体" w:eastAsia="宋体" w:cs="微软雅黑"/>
                <w:sz w:val="28"/>
              </w:rPr>
            </w:pPr>
            <w:r>
              <w:rPr>
                <w:rFonts w:hint="eastAsia" w:ascii="宋体" w:hAnsi="宋体" w:eastAsia="宋体" w:cs="微软雅黑"/>
                <w:kern w:val="0"/>
                <w:sz w:val="28"/>
              </w:rPr>
              <w:t>国家级比赛前三名</w:t>
            </w:r>
          </w:p>
        </w:tc>
        <w:tc>
          <w:tcPr>
            <w:tcW w:w="3411" w:type="dxa"/>
            <w:vMerge w:val="restart"/>
            <w:vAlign w:val="center"/>
          </w:tcPr>
          <w:p>
            <w:pPr>
              <w:pStyle w:val="15"/>
              <w:adjustRightInd w:val="0"/>
              <w:snapToGrid w:val="0"/>
              <w:spacing w:before="0"/>
              <w:rPr>
                <w:rFonts w:ascii="宋体" w:hAnsi="宋体" w:eastAsia="宋体" w:cs="微软雅黑"/>
                <w:sz w:val="28"/>
              </w:rPr>
            </w:pPr>
            <w:r>
              <w:rPr>
                <w:rFonts w:hint="eastAsia" w:ascii="宋体" w:hAnsi="宋体" w:eastAsia="宋体" w:cs="微软雅黑"/>
                <w:kern w:val="0"/>
                <w:sz w:val="28"/>
              </w:rPr>
              <w:t>限体育、教育主管部门组织的比赛项目（</w:t>
            </w:r>
            <w:r>
              <w:rPr>
                <w:rFonts w:hint="eastAsia" w:ascii="宋体" w:hAnsi="宋体" w:eastAsia="宋体" w:cs="微软雅黑"/>
                <w:kern w:val="0"/>
                <w:sz w:val="28"/>
                <w:lang w:val="en-US"/>
              </w:rPr>
              <w:t>限个人</w:t>
            </w:r>
            <w:r>
              <w:rPr>
                <w:rFonts w:hint="eastAsia" w:ascii="宋体" w:hAnsi="宋体" w:eastAsia="宋体" w:cs="微软雅黑"/>
                <w:kern w:val="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exact"/>
        </w:trPr>
        <w:tc>
          <w:tcPr>
            <w:tcW w:w="2016" w:type="dxa"/>
            <w:vMerge w:val="continue"/>
            <w:vAlign w:val="center"/>
          </w:tcPr>
          <w:p>
            <w:pPr>
              <w:pStyle w:val="15"/>
              <w:adjustRightInd w:val="0"/>
              <w:snapToGrid w:val="0"/>
              <w:spacing w:before="0" w:line="312" w:lineRule="auto"/>
              <w:ind w:firstLine="280" w:firstLineChars="100"/>
              <w:rPr>
                <w:rFonts w:ascii="宋体" w:hAnsi="宋体" w:eastAsia="宋体" w:cs="微软雅黑"/>
                <w:sz w:val="28"/>
                <w:lang w:val="en-US"/>
              </w:rPr>
            </w:pPr>
          </w:p>
        </w:tc>
        <w:tc>
          <w:tcPr>
            <w:tcW w:w="3818" w:type="dxa"/>
            <w:vAlign w:val="center"/>
          </w:tcPr>
          <w:p>
            <w:pPr>
              <w:widowControl/>
              <w:adjustRightInd w:val="0"/>
              <w:snapToGrid w:val="0"/>
              <w:spacing w:line="312" w:lineRule="auto"/>
              <w:jc w:val="center"/>
              <w:rPr>
                <w:rFonts w:ascii="宋体" w:hAnsi="宋体" w:eastAsia="宋体" w:cs="微软雅黑"/>
                <w:kern w:val="0"/>
                <w:sz w:val="28"/>
              </w:rPr>
            </w:pPr>
            <w:r>
              <w:rPr>
                <w:rFonts w:hint="eastAsia" w:ascii="宋体" w:hAnsi="宋体" w:eastAsia="宋体" w:cs="微软雅黑"/>
                <w:kern w:val="0"/>
                <w:sz w:val="28"/>
              </w:rPr>
              <w:t>省级比赛前三名</w:t>
            </w:r>
          </w:p>
        </w:tc>
        <w:tc>
          <w:tcPr>
            <w:tcW w:w="3411" w:type="dxa"/>
            <w:vMerge w:val="continue"/>
            <w:vAlign w:val="center"/>
          </w:tcPr>
          <w:p>
            <w:pPr>
              <w:pStyle w:val="15"/>
              <w:adjustRightInd w:val="0"/>
              <w:snapToGrid w:val="0"/>
              <w:spacing w:before="0" w:line="312" w:lineRule="auto"/>
              <w:rPr>
                <w:rFonts w:ascii="宋体" w:hAnsi="宋体" w:eastAsia="宋体" w:cs="微软雅黑"/>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7" w:hRule="exact"/>
        </w:trPr>
        <w:tc>
          <w:tcPr>
            <w:tcW w:w="2016" w:type="dxa"/>
            <w:vAlign w:val="center"/>
          </w:tcPr>
          <w:p>
            <w:pPr>
              <w:pStyle w:val="15"/>
              <w:adjustRightInd w:val="0"/>
              <w:snapToGrid w:val="0"/>
              <w:spacing w:before="0" w:line="312" w:lineRule="auto"/>
              <w:ind w:firstLine="280" w:firstLineChars="100"/>
              <w:rPr>
                <w:rFonts w:ascii="宋体" w:hAnsi="宋体" w:eastAsia="宋体" w:cs="微软雅黑"/>
                <w:sz w:val="28"/>
                <w:lang w:val="en-US"/>
              </w:rPr>
            </w:pPr>
            <w:r>
              <w:rPr>
                <w:rFonts w:hint="eastAsia" w:ascii="宋体" w:hAnsi="宋体" w:eastAsia="宋体" w:cs="微软雅黑"/>
                <w:sz w:val="28"/>
                <w:lang w:val="en-US"/>
              </w:rPr>
              <w:t>荣誉项目</w:t>
            </w:r>
          </w:p>
        </w:tc>
        <w:tc>
          <w:tcPr>
            <w:tcW w:w="3818" w:type="dxa"/>
            <w:vAlign w:val="center"/>
          </w:tcPr>
          <w:p>
            <w:pPr>
              <w:widowControl/>
              <w:adjustRightInd w:val="0"/>
              <w:snapToGrid w:val="0"/>
              <w:spacing w:line="312" w:lineRule="auto"/>
              <w:jc w:val="center"/>
              <w:rPr>
                <w:rFonts w:ascii="宋体" w:hAnsi="宋体" w:eastAsia="宋体" w:cs="微软雅黑"/>
                <w:kern w:val="0"/>
                <w:sz w:val="28"/>
              </w:rPr>
            </w:pPr>
            <w:r>
              <w:rPr>
                <w:rFonts w:hint="eastAsia" w:ascii="宋体" w:hAnsi="宋体" w:eastAsia="宋体" w:cs="微软雅黑"/>
                <w:kern w:val="0"/>
                <w:sz w:val="28"/>
              </w:rPr>
              <w:t>在役期间获得三等功及以上</w:t>
            </w:r>
          </w:p>
        </w:tc>
        <w:tc>
          <w:tcPr>
            <w:tcW w:w="3411" w:type="dxa"/>
            <w:vAlign w:val="center"/>
          </w:tcPr>
          <w:p>
            <w:pPr>
              <w:pStyle w:val="15"/>
              <w:adjustRightInd w:val="0"/>
              <w:snapToGrid w:val="0"/>
              <w:spacing w:before="0" w:line="312" w:lineRule="auto"/>
              <w:rPr>
                <w:rFonts w:ascii="宋体" w:hAnsi="宋体" w:eastAsia="宋体" w:cs="微软雅黑"/>
                <w:sz w:val="28"/>
              </w:rPr>
            </w:pPr>
          </w:p>
        </w:tc>
      </w:tr>
    </w:tbl>
    <w:p>
      <w:pPr>
        <w:pStyle w:val="5"/>
        <w:widowControl/>
        <w:adjustRightInd w:val="0"/>
        <w:snapToGrid w:val="0"/>
        <w:spacing w:beforeAutospacing="0" w:afterAutospacing="0" w:line="600" w:lineRule="exact"/>
        <w:ind w:firstLine="640" w:firstLineChars="200"/>
        <w:rPr>
          <w:rFonts w:ascii="仿宋_GB2312" w:hAnsi="微软雅黑" w:eastAsia="仿宋_GB2312" w:cs="微软雅黑"/>
          <w:color w:val="000000" w:themeColor="text1"/>
          <w:sz w:val="32"/>
          <w:szCs w:val="32"/>
        </w:rPr>
      </w:pPr>
      <w:r>
        <w:rPr>
          <w:rFonts w:hint="eastAsia" w:ascii="仿宋_GB2312" w:hAnsi="微软雅黑" w:eastAsia="仿宋_GB2312" w:cs="微软雅黑"/>
          <w:sz w:val="32"/>
          <w:szCs w:val="32"/>
        </w:rPr>
        <w:t>2、退役士兵，可以申请加10分，</w:t>
      </w:r>
      <w:r>
        <w:rPr>
          <w:rFonts w:hint="eastAsia" w:ascii="仿宋_GB2312" w:hAnsi="微软雅黑" w:eastAsia="仿宋_GB2312" w:cs="微软雅黑"/>
          <w:color w:val="000000" w:themeColor="text1"/>
          <w:sz w:val="32"/>
          <w:szCs w:val="32"/>
        </w:rPr>
        <w:t>由学院招生领导小组审核确认。</w:t>
      </w:r>
    </w:p>
    <w:p>
      <w:pPr>
        <w:widowControl/>
        <w:adjustRightInd w:val="0"/>
        <w:snapToGrid w:val="0"/>
        <w:spacing w:line="640" w:lineRule="exac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符合免试或加分的考生，于7月11日前将申请和佐证材料原件用邮政EMS快递寄送（以邮戳为准）。申请表在浙江安防职业技术学院招生网上下载。</w:t>
      </w:r>
    </w:p>
    <w:p>
      <w:pPr>
        <w:widowControl/>
        <w:adjustRightInd w:val="0"/>
        <w:snapToGrid w:val="0"/>
        <w:spacing w:line="640" w:lineRule="exact"/>
        <w:rPr>
          <w:rFonts w:ascii="微软雅黑" w:hAnsi="微软雅黑" w:eastAsia="微软雅黑" w:cs="微软雅黑"/>
          <w:sz w:val="24"/>
        </w:rPr>
      </w:pPr>
      <w:r>
        <w:rPr>
          <w:rFonts w:hint="eastAsia" w:ascii="微软雅黑" w:hAnsi="微软雅黑" w:eastAsia="微软雅黑" w:cs="微软雅黑"/>
          <w:sz w:val="24"/>
        </w:rPr>
        <w:t xml:space="preserve">                        </w:t>
      </w:r>
    </w:p>
    <w:p>
      <w:pPr>
        <w:widowControl/>
        <w:adjustRightInd w:val="0"/>
        <w:snapToGrid w:val="0"/>
        <w:spacing w:afterLines="100" w:line="600" w:lineRule="atLeast"/>
        <w:jc w:val="center"/>
        <w:rPr>
          <w:rFonts w:ascii="黑体" w:hAnsi="黑体" w:eastAsia="黑体" w:cs="微软雅黑"/>
          <w:b/>
          <w:bCs/>
          <w:color w:val="000000" w:themeColor="text1"/>
          <w:sz w:val="32"/>
          <w:szCs w:val="32"/>
        </w:rPr>
      </w:pPr>
      <w:r>
        <w:rPr>
          <w:rStyle w:val="8"/>
          <w:rFonts w:hint="eastAsia" w:ascii="黑体" w:hAnsi="黑体" w:eastAsia="黑体" w:cs="微软雅黑"/>
          <w:b w:val="0"/>
          <w:bCs/>
          <w:color w:val="000000" w:themeColor="text1"/>
          <w:kern w:val="0"/>
          <w:sz w:val="32"/>
          <w:szCs w:val="32"/>
        </w:rPr>
        <w:t>第五章</w:t>
      </w:r>
      <w:r>
        <w:rPr>
          <w:rStyle w:val="8"/>
          <w:rFonts w:hint="eastAsia" w:ascii="微软雅黑" w:hAnsi="微软雅黑" w:eastAsia="黑体" w:cs="微软雅黑"/>
          <w:b w:val="0"/>
          <w:bCs/>
          <w:color w:val="000000" w:themeColor="text1"/>
          <w:kern w:val="0"/>
          <w:sz w:val="32"/>
          <w:szCs w:val="32"/>
        </w:rPr>
        <w:t>  </w:t>
      </w:r>
      <w:r>
        <w:rPr>
          <w:rStyle w:val="8"/>
          <w:rFonts w:hint="eastAsia" w:ascii="黑体" w:hAnsi="黑体" w:eastAsia="黑体" w:cs="微软雅黑"/>
          <w:b w:val="0"/>
          <w:bCs/>
          <w:color w:val="000000" w:themeColor="text1"/>
          <w:kern w:val="0"/>
          <w:sz w:val="32"/>
          <w:szCs w:val="32"/>
        </w:rPr>
        <w:t xml:space="preserve">  录取规则</w:t>
      </w:r>
    </w:p>
    <w:p>
      <w:pPr>
        <w:widowControl/>
        <w:adjustRightInd w:val="0"/>
        <w:snapToGrid w:val="0"/>
        <w:spacing w:line="600" w:lineRule="atLeast"/>
        <w:ind w:firstLine="640" w:firstLineChars="200"/>
        <w:jc w:val="left"/>
        <w:rPr>
          <w:rFonts w:ascii="仿宋_GB2312" w:hAnsi="微软雅黑" w:eastAsia="仿宋_GB2312" w:cs="微软雅黑"/>
          <w:color w:val="000000" w:themeColor="text1"/>
          <w:kern w:val="0"/>
          <w:sz w:val="32"/>
          <w:szCs w:val="32"/>
        </w:rPr>
      </w:pPr>
      <w:r>
        <w:rPr>
          <w:rFonts w:hint="eastAsia" w:ascii="仿宋_GB2312" w:hAnsi="微软雅黑" w:eastAsia="仿宋_GB2312" w:cs="微软雅黑"/>
          <w:color w:val="000000" w:themeColor="text1"/>
          <w:kern w:val="0"/>
          <w:sz w:val="32"/>
          <w:szCs w:val="32"/>
        </w:rPr>
        <w:t>第九条</w:t>
      </w:r>
      <w:r>
        <w:rPr>
          <w:rFonts w:hint="eastAsia" w:ascii="微软雅黑" w:hAnsi="微软雅黑" w:eastAsia="仿宋_GB2312" w:cs="微软雅黑"/>
          <w:color w:val="000000" w:themeColor="text1"/>
          <w:kern w:val="0"/>
          <w:sz w:val="32"/>
          <w:szCs w:val="32"/>
        </w:rPr>
        <w:t> </w:t>
      </w:r>
      <w:r>
        <w:rPr>
          <w:rFonts w:hint="eastAsia" w:ascii="仿宋_GB2312" w:hAnsi="微软雅黑" w:eastAsia="仿宋_GB2312" w:cs="微软雅黑"/>
          <w:color w:val="000000" w:themeColor="text1"/>
          <w:kern w:val="0"/>
          <w:sz w:val="32"/>
          <w:szCs w:val="32"/>
        </w:rPr>
        <w:t xml:space="preserve"> 学院按教育部要求，实行“学校负责、省考试院监督”的录取体制。学校坚持公平竞争、公正选拔、全面考核、综合评价、择优录取的原则。</w:t>
      </w:r>
    </w:p>
    <w:p>
      <w:pPr>
        <w:widowControl/>
        <w:adjustRightInd w:val="0"/>
        <w:snapToGrid w:val="0"/>
        <w:spacing w:line="600" w:lineRule="atLeast"/>
        <w:ind w:firstLine="640" w:firstLineChars="200"/>
        <w:jc w:val="left"/>
        <w:rPr>
          <w:rFonts w:ascii="仿宋_GB2312" w:hAnsi="微软雅黑" w:eastAsia="仿宋_GB2312" w:cs="微软雅黑"/>
          <w:kern w:val="0"/>
          <w:sz w:val="32"/>
          <w:szCs w:val="32"/>
        </w:rPr>
      </w:pPr>
      <w:r>
        <w:rPr>
          <w:rFonts w:hint="eastAsia" w:ascii="仿宋_GB2312" w:hAnsi="微软雅黑" w:eastAsia="仿宋_GB2312" w:cs="微软雅黑"/>
          <w:color w:val="000000" w:themeColor="text1"/>
          <w:kern w:val="0"/>
          <w:sz w:val="32"/>
          <w:szCs w:val="32"/>
        </w:rPr>
        <w:t xml:space="preserve">第十条  </w:t>
      </w:r>
      <w:r>
        <w:rPr>
          <w:rFonts w:hint="eastAsia" w:ascii="仿宋_GB2312" w:hAnsi="微软雅黑" w:eastAsia="仿宋_GB2312" w:cs="微软雅黑"/>
          <w:kern w:val="0"/>
          <w:sz w:val="32"/>
          <w:szCs w:val="32"/>
        </w:rPr>
        <w:t>一志愿填报我校考生，根据“分数优先，遵循志愿”的原则，按考生专业志愿择优录取，录取考生的男女生比例不限。如成绩相同，按照体质测试成绩优先原则。如我校一志愿录取后，计划仍未完成，二志愿及服从志愿填报我校的考生，如果报考人数不超过我院剩余计划数，我院承认其一志愿学校测试成绩；如果超过剩余计划数，学院将重新组织测试，测试形式与一志愿报考我院考生相同。</w:t>
      </w:r>
      <w:bookmarkStart w:id="0" w:name="_GoBack"/>
      <w:bookmarkEnd w:id="0"/>
    </w:p>
    <w:p>
      <w:pPr>
        <w:pStyle w:val="2"/>
        <w:tabs>
          <w:tab w:val="left" w:pos="2187"/>
        </w:tabs>
        <w:adjustRightInd w:val="0"/>
        <w:snapToGrid w:val="0"/>
        <w:spacing w:line="600" w:lineRule="atLeast"/>
        <w:ind w:left="0" w:firstLine="640" w:firstLineChars="200"/>
        <w:rPr>
          <w:rFonts w:ascii="仿宋_GB2312" w:hAnsi="微软雅黑" w:eastAsia="仿宋_GB2312" w:cs="微软雅黑"/>
          <w:color w:val="FF0000"/>
          <w:sz w:val="32"/>
          <w:szCs w:val="32"/>
        </w:rPr>
      </w:pPr>
      <w:r>
        <w:rPr>
          <w:rFonts w:hint="eastAsia" w:ascii="仿宋_GB2312" w:hAnsi="微软雅黑" w:eastAsia="仿宋_GB2312" w:cs="微软雅黑"/>
          <w:bCs/>
          <w:sz w:val="32"/>
          <w:szCs w:val="32"/>
        </w:rPr>
        <w:t>第十</w:t>
      </w:r>
      <w:r>
        <w:rPr>
          <w:rFonts w:hint="eastAsia" w:ascii="仿宋_GB2312" w:hAnsi="微软雅黑" w:eastAsia="仿宋_GB2312" w:cs="微软雅黑"/>
          <w:bCs/>
          <w:sz w:val="32"/>
          <w:szCs w:val="32"/>
          <w:lang w:val="en-US"/>
        </w:rPr>
        <w:t>一</w:t>
      </w:r>
      <w:r>
        <w:rPr>
          <w:rFonts w:hint="eastAsia" w:ascii="仿宋_GB2312" w:hAnsi="微软雅黑" w:eastAsia="仿宋_GB2312" w:cs="微软雅黑"/>
          <w:bCs/>
          <w:sz w:val="32"/>
          <w:szCs w:val="32"/>
        </w:rPr>
        <w:t>条</w:t>
      </w:r>
      <w:r>
        <w:rPr>
          <w:rFonts w:hint="eastAsia" w:ascii="仿宋_GB2312" w:hAnsi="微软雅黑" w:eastAsia="仿宋_GB2312" w:cs="微软雅黑"/>
          <w:b/>
          <w:sz w:val="32"/>
          <w:szCs w:val="32"/>
          <w:lang w:val="en-US"/>
        </w:rPr>
        <w:t xml:space="preserve">  </w:t>
      </w:r>
      <w:r>
        <w:rPr>
          <w:rFonts w:hint="eastAsia" w:ascii="仿宋_GB2312" w:hAnsi="微软雅黑" w:eastAsia="仿宋_GB2312" w:cs="微软雅黑"/>
          <w:sz w:val="32"/>
          <w:szCs w:val="32"/>
        </w:rPr>
        <w:t>对有违法处理和明显不良作风影响的考生，学校不予录取。</w:t>
      </w:r>
    </w:p>
    <w:p>
      <w:pPr>
        <w:adjustRightInd w:val="0"/>
        <w:snapToGrid w:val="0"/>
        <w:spacing w:line="600" w:lineRule="atLeast"/>
        <w:ind w:firstLine="640" w:firstLineChars="200"/>
        <w:jc w:val="left"/>
        <w:rPr>
          <w:rFonts w:ascii="仿宋_GB2312" w:hAnsi="微软雅黑" w:eastAsia="仿宋_GB2312" w:cs="微软雅黑"/>
          <w:color w:val="000000" w:themeColor="text1"/>
          <w:sz w:val="32"/>
          <w:szCs w:val="32"/>
        </w:rPr>
      </w:pPr>
      <w:r>
        <w:rPr>
          <w:rFonts w:hint="eastAsia" w:ascii="仿宋_GB2312" w:hAnsi="微软雅黑" w:eastAsia="仿宋_GB2312" w:cs="微软雅黑"/>
          <w:color w:val="000000" w:themeColor="text1"/>
          <w:kern w:val="0"/>
          <w:sz w:val="32"/>
          <w:szCs w:val="32"/>
        </w:rPr>
        <w:t>第十二条</w:t>
      </w:r>
      <w:r>
        <w:rPr>
          <w:rFonts w:hint="eastAsia" w:ascii="微软雅黑" w:hAnsi="微软雅黑" w:eastAsia="仿宋_GB2312" w:cs="微软雅黑"/>
          <w:color w:val="000000" w:themeColor="text1"/>
          <w:kern w:val="0"/>
          <w:sz w:val="32"/>
          <w:szCs w:val="32"/>
        </w:rPr>
        <w:t> </w:t>
      </w:r>
      <w:r>
        <w:rPr>
          <w:rFonts w:hint="eastAsia" w:ascii="仿宋_GB2312" w:hAnsi="微软雅黑" w:eastAsia="仿宋_GB2312" w:cs="微软雅黑"/>
          <w:color w:val="000000" w:themeColor="text1"/>
          <w:kern w:val="0"/>
          <w:sz w:val="32"/>
          <w:szCs w:val="32"/>
        </w:rPr>
        <w:t xml:space="preserve"> 学院开设的</w:t>
      </w:r>
      <w:r>
        <w:fldChar w:fldCharType="begin"/>
      </w:r>
      <w:r>
        <w:instrText xml:space="preserve"> HYPERLINK "http://edu.qq.com/en/" \t "http://zs.zjist.cn/Art/Art_36/_blank" </w:instrText>
      </w:r>
      <w:r>
        <w:fldChar w:fldCharType="separate"/>
      </w:r>
      <w:r>
        <w:rPr>
          <w:rStyle w:val="11"/>
          <w:rFonts w:hint="eastAsia" w:ascii="仿宋_GB2312" w:hAnsi="微软雅黑" w:eastAsia="仿宋_GB2312" w:cs="微软雅黑"/>
          <w:color w:val="000000" w:themeColor="text1"/>
          <w:sz w:val="32"/>
          <w:szCs w:val="32"/>
        </w:rPr>
        <w:t>外语</w:t>
      </w:r>
      <w:r>
        <w:rPr>
          <w:rStyle w:val="11"/>
          <w:rFonts w:hint="eastAsia" w:ascii="仿宋_GB2312" w:hAnsi="微软雅黑" w:eastAsia="仿宋_GB2312" w:cs="微软雅黑"/>
          <w:color w:val="000000" w:themeColor="text1"/>
          <w:sz w:val="32"/>
          <w:szCs w:val="32"/>
        </w:rPr>
        <w:fldChar w:fldCharType="end"/>
      </w:r>
      <w:r>
        <w:rPr>
          <w:rFonts w:hint="eastAsia" w:ascii="仿宋_GB2312" w:hAnsi="微软雅黑" w:eastAsia="仿宋_GB2312" w:cs="微软雅黑"/>
          <w:color w:val="000000" w:themeColor="text1"/>
          <w:kern w:val="0"/>
          <w:sz w:val="32"/>
          <w:szCs w:val="32"/>
        </w:rPr>
        <w:t>语种为</w:t>
      </w:r>
      <w:r>
        <w:fldChar w:fldCharType="begin"/>
      </w:r>
      <w:r>
        <w:instrText xml:space="preserve"> HYPERLINK "http://edu.qq.com/en/" </w:instrText>
      </w:r>
      <w:r>
        <w:fldChar w:fldCharType="separate"/>
      </w:r>
      <w:r>
        <w:rPr>
          <w:rStyle w:val="11"/>
          <w:rFonts w:hint="eastAsia" w:ascii="仿宋_GB2312" w:hAnsi="微软雅黑" w:eastAsia="仿宋_GB2312" w:cs="微软雅黑"/>
          <w:color w:val="000000" w:themeColor="text1"/>
          <w:sz w:val="32"/>
          <w:szCs w:val="32"/>
        </w:rPr>
        <w:t>英语</w:t>
      </w:r>
      <w:r>
        <w:rPr>
          <w:rStyle w:val="11"/>
          <w:rFonts w:hint="eastAsia" w:ascii="仿宋_GB2312" w:hAnsi="微软雅黑" w:eastAsia="仿宋_GB2312" w:cs="微软雅黑"/>
          <w:color w:val="000000" w:themeColor="text1"/>
          <w:sz w:val="32"/>
          <w:szCs w:val="32"/>
        </w:rPr>
        <w:fldChar w:fldCharType="end"/>
      </w:r>
      <w:r>
        <w:rPr>
          <w:rFonts w:hint="eastAsia" w:ascii="仿宋_GB2312" w:hAnsi="微软雅黑" w:eastAsia="仿宋_GB2312" w:cs="微软雅黑"/>
          <w:color w:val="000000" w:themeColor="text1"/>
          <w:kern w:val="0"/>
          <w:sz w:val="32"/>
          <w:szCs w:val="32"/>
        </w:rPr>
        <w:t>。</w:t>
      </w:r>
    </w:p>
    <w:p>
      <w:pPr>
        <w:pStyle w:val="5"/>
        <w:adjustRightInd w:val="0"/>
        <w:snapToGrid w:val="0"/>
        <w:spacing w:beforeAutospacing="0" w:afterAutospacing="0" w:line="600" w:lineRule="atLeas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第十三条  被本校录取的新生，必须按《新生入学须知》中的规定，按期到本校办理入学手续，逾期不报到又无正当理由者，则取消其入学资格。</w:t>
      </w:r>
    </w:p>
    <w:p>
      <w:pPr>
        <w:adjustRightInd w:val="0"/>
        <w:snapToGrid w:val="0"/>
        <w:spacing w:afterLines="100" w:line="600" w:lineRule="atLeast"/>
        <w:jc w:val="center"/>
        <w:rPr>
          <w:rFonts w:ascii="黑体" w:hAnsi="黑体" w:eastAsia="黑体" w:cs="微软雅黑"/>
          <w:sz w:val="32"/>
          <w:szCs w:val="32"/>
        </w:rPr>
      </w:pPr>
      <w:r>
        <w:rPr>
          <w:rFonts w:hint="eastAsia" w:ascii="黑体" w:hAnsi="黑体" w:eastAsia="黑体" w:cs="微软雅黑"/>
          <w:sz w:val="32"/>
          <w:szCs w:val="32"/>
        </w:rPr>
        <w:t>第六章  违规处理与招生监督</w:t>
      </w:r>
    </w:p>
    <w:p>
      <w:pPr>
        <w:adjustRightInd w:val="0"/>
        <w:snapToGrid w:val="0"/>
        <w:spacing w:line="600" w:lineRule="atLeas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第十四条</w:t>
      </w:r>
      <w:r>
        <w:rPr>
          <w:rFonts w:hint="eastAsia" w:ascii="仿宋_GB2312" w:hAnsi="微软雅黑" w:eastAsia="仿宋_GB2312" w:cs="微软雅黑"/>
          <w:b/>
          <w:sz w:val="32"/>
          <w:szCs w:val="32"/>
        </w:rPr>
        <w:t xml:space="preserve"> </w:t>
      </w:r>
      <w:r>
        <w:rPr>
          <w:rFonts w:hint="eastAsia" w:ascii="仿宋_GB2312" w:hAnsi="微软雅黑" w:eastAsia="仿宋_GB2312" w:cs="微软雅黑"/>
          <w:sz w:val="32"/>
          <w:szCs w:val="32"/>
        </w:rPr>
        <w:t>学院成立由校领导、监察人员等组成的招生工作领导小组，讨论决定</w:t>
      </w:r>
      <w:r>
        <w:rPr>
          <w:rFonts w:hint="eastAsia" w:ascii="仿宋_GB2312" w:hAnsi="微软雅黑" w:eastAsia="仿宋_GB2312" w:cs="微软雅黑"/>
          <w:bCs/>
          <w:sz w:val="32"/>
          <w:szCs w:val="32"/>
        </w:rPr>
        <w:t>招生录</w:t>
      </w:r>
      <w:r>
        <w:rPr>
          <w:rFonts w:hint="eastAsia" w:ascii="仿宋_GB2312" w:hAnsi="微软雅黑" w:eastAsia="仿宋_GB2312" w:cs="微软雅黑"/>
          <w:sz w:val="32"/>
          <w:szCs w:val="32"/>
        </w:rPr>
        <w:t>取工作中的重大问题。</w:t>
      </w:r>
    </w:p>
    <w:p>
      <w:pPr>
        <w:adjustRightInd w:val="0"/>
        <w:snapToGrid w:val="0"/>
        <w:spacing w:line="600" w:lineRule="atLeas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第十五条</w:t>
      </w:r>
      <w:r>
        <w:rPr>
          <w:rFonts w:hint="eastAsia" w:ascii="仿宋_GB2312" w:hAnsi="微软雅黑" w:eastAsia="仿宋_GB2312" w:cs="微软雅黑"/>
          <w:b/>
          <w:sz w:val="32"/>
          <w:szCs w:val="32"/>
        </w:rPr>
        <w:t xml:space="preserve"> </w:t>
      </w:r>
      <w:r>
        <w:rPr>
          <w:rFonts w:hint="eastAsia" w:ascii="仿宋_GB2312" w:hAnsi="微软雅黑" w:eastAsia="仿宋_GB2312" w:cs="微软雅黑"/>
          <w:sz w:val="32"/>
          <w:szCs w:val="32"/>
        </w:rPr>
        <w:t>学院选拔录取工作严格按照“公正、公平、公开”原则，坚持标准，确保质量。选拔录取工作由学院纪检监察部门全程参与，</w:t>
      </w:r>
      <w:r>
        <w:rPr>
          <w:rFonts w:hint="eastAsia" w:ascii="仿宋_GB2312" w:hAnsi="微软雅黑" w:eastAsia="仿宋_GB2312" w:cs="微软雅黑"/>
          <w:color w:val="000000"/>
          <w:kern w:val="0"/>
          <w:sz w:val="32"/>
          <w:szCs w:val="32"/>
        </w:rPr>
        <w:t xml:space="preserve">自觉接受省级招生主管部门和社会的监督。 </w:t>
      </w:r>
    </w:p>
    <w:p>
      <w:pPr>
        <w:adjustRightInd w:val="0"/>
        <w:snapToGrid w:val="0"/>
        <w:spacing w:line="600" w:lineRule="atLeast"/>
        <w:ind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第十六条</w:t>
      </w:r>
      <w:r>
        <w:rPr>
          <w:rFonts w:hint="eastAsia" w:ascii="仿宋_GB2312" w:hAnsi="微软雅黑" w:eastAsia="仿宋_GB2312" w:cs="微软雅黑"/>
          <w:b/>
          <w:sz w:val="32"/>
          <w:szCs w:val="32"/>
        </w:rPr>
        <w:t xml:space="preserve"> </w:t>
      </w:r>
      <w:r>
        <w:rPr>
          <w:rFonts w:hint="eastAsia" w:ascii="仿宋_GB2312" w:hAnsi="仿宋_GB2312" w:eastAsia="仿宋_GB2312" w:cs="仿宋_GB2312"/>
          <w:sz w:val="32"/>
          <w:szCs w:val="32"/>
          <w:lang w:val="en-US" w:eastAsia="zh-CN"/>
        </w:rPr>
        <w:t>考生</w:t>
      </w:r>
      <w:r>
        <w:rPr>
          <w:rFonts w:hint="eastAsia" w:ascii="仿宋_GB2312" w:hAnsi="微软雅黑" w:eastAsia="仿宋_GB2312" w:cs="微软雅黑"/>
          <w:sz w:val="32"/>
          <w:szCs w:val="32"/>
        </w:rPr>
        <w:t>应本着诚信原则向学校提出申请并参加相应测试。根据教育部 36 号令规定，考生有下列情形之一的，我校将如实记入其考试诚信档案。下列行为在专业报名确认阶段发现的，取消报考资格；在入学前发现的，取消入学资格；入学后发现的，取消录取资格或者学籍；毕业后发现的，由教育行政部门宣布学历证书无效并予以收回；涉嫌犯罪的，依法移送司法机关处理。</w:t>
      </w:r>
    </w:p>
    <w:p>
      <w:pPr>
        <w:pStyle w:val="2"/>
        <w:adjustRightInd w:val="0"/>
        <w:snapToGrid w:val="0"/>
        <w:spacing w:line="600" w:lineRule="atLeast"/>
        <w:ind w:left="0"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（一）提供虚假姓名、年龄、民族、户籍等个人信息，伪造、非法获得证件、成绩证明、荣誉证书等，骗取报名资格、享受优惠政策的；</w:t>
      </w:r>
    </w:p>
    <w:p>
      <w:pPr>
        <w:pStyle w:val="2"/>
        <w:adjustRightInd w:val="0"/>
        <w:snapToGrid w:val="0"/>
        <w:spacing w:line="600" w:lineRule="atLeast"/>
        <w:ind w:left="0"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（二）在综合素质评价、相关申请材料中提供虚假材料、影响录取结果的；</w:t>
      </w:r>
    </w:p>
    <w:p>
      <w:pPr>
        <w:pStyle w:val="2"/>
        <w:adjustRightInd w:val="0"/>
        <w:snapToGrid w:val="0"/>
        <w:spacing w:line="600" w:lineRule="atLeast"/>
        <w:ind w:left="0"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（三）冒名顶替入学，由他人替考入学或者取得优惠资格的；</w:t>
      </w:r>
    </w:p>
    <w:p>
      <w:pPr>
        <w:pStyle w:val="2"/>
        <w:adjustRightInd w:val="0"/>
        <w:snapToGrid w:val="0"/>
        <w:spacing w:line="600" w:lineRule="atLeast"/>
        <w:ind w:left="0" w:firstLine="640" w:firstLineChars="200"/>
        <w:rPr>
          <w:rFonts w:ascii="仿宋_GB2312" w:hAnsi="微软雅黑" w:eastAsia="仿宋_GB2312" w:cs="微软雅黑"/>
          <w:sz w:val="32"/>
          <w:szCs w:val="32"/>
        </w:rPr>
      </w:pPr>
      <w:r>
        <w:rPr>
          <w:rFonts w:hint="eastAsia" w:ascii="仿宋_GB2312" w:hAnsi="微软雅黑" w:eastAsia="仿宋_GB2312" w:cs="微软雅黑"/>
          <w:sz w:val="32"/>
          <w:szCs w:val="32"/>
        </w:rPr>
        <w:t>（四）其他严重违反高校招生规定的弄虚作假行为。</w:t>
      </w:r>
    </w:p>
    <w:p>
      <w:pPr>
        <w:adjustRightInd w:val="0"/>
        <w:snapToGrid w:val="0"/>
        <w:spacing w:line="600" w:lineRule="atLeast"/>
        <w:ind w:firstLine="640" w:firstLineChars="200"/>
        <w:rPr>
          <w:rFonts w:ascii="仿宋_GB2312" w:hAnsi="微软雅黑" w:eastAsia="仿宋_GB2312" w:cs="微软雅黑"/>
          <w:color w:val="000000"/>
          <w:sz w:val="32"/>
          <w:szCs w:val="32"/>
        </w:rPr>
      </w:pPr>
      <w:r>
        <w:rPr>
          <w:rFonts w:hint="eastAsia" w:ascii="仿宋_GB2312" w:hAnsi="微软雅黑" w:eastAsia="仿宋_GB2312" w:cs="微软雅黑"/>
          <w:color w:val="000000"/>
          <w:sz w:val="32"/>
          <w:szCs w:val="32"/>
        </w:rPr>
        <w:t>第十七条  其它违规行为的处理遵照教育部有关规定执行。纪检监察电话：0577-85108020。</w:t>
      </w:r>
    </w:p>
    <w:p>
      <w:pPr>
        <w:widowControl/>
        <w:adjustRightInd w:val="0"/>
        <w:snapToGrid w:val="0"/>
        <w:spacing w:afterLines="100" w:line="600" w:lineRule="atLeast"/>
        <w:jc w:val="center"/>
        <w:rPr>
          <w:rFonts w:ascii="黑体" w:hAnsi="黑体" w:eastAsia="黑体" w:cs="微软雅黑"/>
          <w:b/>
          <w:bCs/>
          <w:color w:val="555555"/>
          <w:sz w:val="32"/>
          <w:szCs w:val="32"/>
        </w:rPr>
      </w:pPr>
      <w:r>
        <w:rPr>
          <w:rStyle w:val="8"/>
          <w:rFonts w:hint="eastAsia" w:ascii="黑体" w:hAnsi="黑体" w:eastAsia="黑体" w:cs="微软雅黑"/>
          <w:b w:val="0"/>
          <w:bCs/>
          <w:color w:val="000000"/>
          <w:kern w:val="0"/>
          <w:sz w:val="32"/>
          <w:szCs w:val="32"/>
        </w:rPr>
        <w:t>第七章</w:t>
      </w:r>
      <w:r>
        <w:rPr>
          <w:rStyle w:val="8"/>
          <w:rFonts w:hint="eastAsia" w:ascii="微软雅黑" w:hAnsi="微软雅黑" w:eastAsia="黑体" w:cs="微软雅黑"/>
          <w:b w:val="0"/>
          <w:bCs/>
          <w:color w:val="000000"/>
          <w:kern w:val="0"/>
          <w:sz w:val="32"/>
          <w:szCs w:val="32"/>
        </w:rPr>
        <w:t>  </w:t>
      </w:r>
      <w:r>
        <w:rPr>
          <w:rStyle w:val="8"/>
          <w:rFonts w:hint="eastAsia" w:ascii="黑体" w:hAnsi="黑体" w:eastAsia="黑体" w:cs="微软雅黑"/>
          <w:b w:val="0"/>
          <w:bCs/>
          <w:color w:val="000000"/>
          <w:kern w:val="0"/>
          <w:sz w:val="32"/>
          <w:szCs w:val="32"/>
        </w:rPr>
        <w:t xml:space="preserve">   附  则</w:t>
      </w:r>
    </w:p>
    <w:p>
      <w:pPr>
        <w:widowControl/>
        <w:adjustRightInd w:val="0"/>
        <w:snapToGrid w:val="0"/>
        <w:spacing w:line="600" w:lineRule="atLeast"/>
        <w:ind w:firstLine="640" w:firstLineChars="200"/>
        <w:jc w:val="left"/>
        <w:rPr>
          <w:rFonts w:ascii="仿宋_GB2312" w:hAnsi="微软雅黑" w:eastAsia="仿宋_GB2312" w:cs="微软雅黑"/>
          <w:color w:val="000000" w:themeColor="text1"/>
          <w:sz w:val="32"/>
          <w:szCs w:val="32"/>
        </w:rPr>
      </w:pPr>
      <w:r>
        <w:rPr>
          <w:rFonts w:hint="eastAsia" w:ascii="仿宋_GB2312" w:hAnsi="微软雅黑" w:eastAsia="仿宋_GB2312" w:cs="微软雅黑"/>
          <w:color w:val="000000" w:themeColor="text1"/>
          <w:kern w:val="0"/>
          <w:sz w:val="32"/>
          <w:szCs w:val="32"/>
        </w:rPr>
        <w:t xml:space="preserve">第十八条 </w:t>
      </w:r>
      <w:r>
        <w:rPr>
          <w:rFonts w:hint="eastAsia" w:ascii="仿宋_GB2312" w:hAnsi="微软雅黑" w:eastAsia="仿宋_GB2312" w:cs="微软雅黑"/>
          <w:sz w:val="32"/>
          <w:szCs w:val="32"/>
        </w:rPr>
        <w:t>本章程仅适用于 2019 年浙江安防职业技术学院</w:t>
      </w:r>
      <w:r>
        <w:rPr>
          <w:rFonts w:hint="eastAsia" w:ascii="仿宋_GB2312" w:hAnsi="仿宋_GB2312" w:eastAsia="仿宋_GB2312" w:cs="仿宋_GB2312"/>
          <w:sz w:val="32"/>
          <w:szCs w:val="32"/>
          <w:lang w:val="en-US" w:eastAsia="zh-CN"/>
        </w:rPr>
        <w:t>退役士兵高职扩招考生和下岗失业人员、农民工、新型职业农民等高职扩招考生</w:t>
      </w:r>
      <w:r>
        <w:rPr>
          <w:rFonts w:hint="eastAsia" w:ascii="仿宋_GB2312" w:hAnsi="微软雅黑" w:eastAsia="仿宋_GB2312" w:cs="微软雅黑"/>
          <w:sz w:val="32"/>
          <w:szCs w:val="32"/>
        </w:rPr>
        <w:t>招生工作。</w:t>
      </w:r>
    </w:p>
    <w:p>
      <w:pPr>
        <w:pStyle w:val="2"/>
        <w:tabs>
          <w:tab w:val="left" w:pos="2468"/>
        </w:tabs>
        <w:adjustRightInd w:val="0"/>
        <w:snapToGrid w:val="0"/>
        <w:spacing w:line="600" w:lineRule="atLeast"/>
        <w:ind w:left="0" w:firstLine="640" w:firstLineChars="200"/>
        <w:rPr>
          <w:rFonts w:ascii="仿宋_GB2312" w:hAnsi="微软雅黑" w:eastAsia="仿宋_GB2312" w:cs="微软雅黑"/>
          <w:sz w:val="32"/>
          <w:szCs w:val="32"/>
        </w:rPr>
      </w:pPr>
      <w:r>
        <w:rPr>
          <w:rFonts w:hint="eastAsia" w:ascii="仿宋_GB2312" w:hAnsi="微软雅黑" w:eastAsia="仿宋_GB2312" w:cs="微软雅黑"/>
          <w:color w:val="000000" w:themeColor="text1"/>
          <w:kern w:val="0"/>
          <w:sz w:val="32"/>
          <w:szCs w:val="32"/>
          <w:lang w:val="en-US"/>
        </w:rPr>
        <w:t xml:space="preserve">第十九条 </w:t>
      </w:r>
      <w:r>
        <w:rPr>
          <w:rFonts w:hint="eastAsia" w:ascii="仿宋_GB2312" w:hAnsi="微软雅黑" w:eastAsia="仿宋_GB2312" w:cs="微软雅黑"/>
          <w:sz w:val="32"/>
          <w:szCs w:val="32"/>
        </w:rPr>
        <w:t>本章程经</w:t>
      </w:r>
      <w:r>
        <w:rPr>
          <w:rFonts w:hint="eastAsia" w:ascii="仿宋_GB2312" w:hAnsi="微软雅黑" w:eastAsia="仿宋_GB2312" w:cs="微软雅黑"/>
          <w:sz w:val="32"/>
          <w:szCs w:val="32"/>
          <w:lang w:val="en-US"/>
        </w:rPr>
        <w:t>浙江安防职业技术学院</w:t>
      </w:r>
      <w:r>
        <w:rPr>
          <w:rFonts w:hint="eastAsia" w:ascii="仿宋_GB2312" w:hAnsi="微软雅黑" w:eastAsia="仿宋_GB2312" w:cs="微软雅黑"/>
          <w:sz w:val="32"/>
          <w:szCs w:val="32"/>
        </w:rPr>
        <w:t>招生领导小组审查通过，报上级主管部门审核。</w:t>
      </w:r>
    </w:p>
    <w:p>
      <w:pPr>
        <w:adjustRightInd w:val="0"/>
        <w:snapToGrid w:val="0"/>
        <w:spacing w:line="600" w:lineRule="atLeast"/>
        <w:ind w:firstLine="640" w:firstLineChars="200"/>
        <w:rPr>
          <w:rFonts w:ascii="仿宋_GB2312" w:hAnsi="微软雅黑" w:eastAsia="仿宋_GB2312" w:cs="微软雅黑"/>
          <w:sz w:val="32"/>
          <w:szCs w:val="32"/>
        </w:rPr>
      </w:pPr>
      <w:r>
        <w:rPr>
          <w:rFonts w:hint="eastAsia" w:ascii="仿宋_GB2312" w:hAnsi="微软雅黑" w:eastAsia="仿宋_GB2312" w:cs="微软雅黑"/>
          <w:bCs/>
          <w:sz w:val="32"/>
          <w:szCs w:val="32"/>
        </w:rPr>
        <w:t>第二十条</w:t>
      </w:r>
      <w:r>
        <w:rPr>
          <w:rFonts w:hint="eastAsia" w:ascii="仿宋_GB2312" w:hAnsi="微软雅黑" w:eastAsia="仿宋_GB2312" w:cs="微软雅黑"/>
          <w:b/>
          <w:sz w:val="32"/>
          <w:szCs w:val="32"/>
        </w:rPr>
        <w:tab/>
      </w:r>
      <w:r>
        <w:rPr>
          <w:rFonts w:hint="eastAsia" w:ascii="仿宋_GB2312" w:hAnsi="微软雅黑" w:eastAsia="仿宋_GB2312" w:cs="微软雅黑"/>
          <w:sz w:val="32"/>
          <w:szCs w:val="32"/>
        </w:rPr>
        <w:t>本章程由浙江安防职业技术学院招生就业处负责解释。</w:t>
      </w:r>
    </w:p>
    <w:p>
      <w:pPr>
        <w:widowControl/>
        <w:adjustRightInd w:val="0"/>
        <w:snapToGrid w:val="0"/>
        <w:spacing w:line="600" w:lineRule="atLeast"/>
        <w:ind w:firstLine="640" w:firstLineChars="200"/>
        <w:jc w:val="left"/>
        <w:rPr>
          <w:rFonts w:ascii="仿宋_GB2312" w:hAnsi="微软雅黑" w:eastAsia="仿宋_GB2312" w:cs="微软雅黑"/>
          <w:color w:val="555555"/>
          <w:sz w:val="32"/>
          <w:szCs w:val="32"/>
        </w:rPr>
      </w:pPr>
      <w:r>
        <w:rPr>
          <w:rFonts w:hint="eastAsia" w:ascii="仿宋_GB2312" w:hAnsi="微软雅黑" w:eastAsia="仿宋_GB2312" w:cs="微软雅黑"/>
          <w:color w:val="000000"/>
          <w:kern w:val="0"/>
          <w:sz w:val="32"/>
          <w:szCs w:val="32"/>
        </w:rPr>
        <w:t>第二十一条</w:t>
      </w:r>
      <w:r>
        <w:rPr>
          <w:rFonts w:hint="eastAsia" w:ascii="微软雅黑" w:hAnsi="微软雅黑" w:eastAsia="仿宋_GB2312" w:cs="微软雅黑"/>
          <w:color w:val="000000"/>
          <w:kern w:val="0"/>
          <w:sz w:val="32"/>
          <w:szCs w:val="32"/>
        </w:rPr>
        <w:t> </w:t>
      </w:r>
      <w:r>
        <w:rPr>
          <w:rFonts w:hint="eastAsia" w:ascii="仿宋_GB2312" w:hAnsi="微软雅黑" w:eastAsia="仿宋_GB2312" w:cs="微软雅黑"/>
          <w:color w:val="000000"/>
          <w:kern w:val="0"/>
          <w:sz w:val="32"/>
          <w:szCs w:val="32"/>
        </w:rPr>
        <w:t xml:space="preserve"> 联系方式：</w:t>
      </w:r>
    </w:p>
    <w:p>
      <w:pPr>
        <w:widowControl/>
        <w:adjustRightInd w:val="0"/>
        <w:snapToGrid w:val="0"/>
        <w:spacing w:line="600" w:lineRule="atLeast"/>
        <w:ind w:firstLine="640" w:firstLineChars="200"/>
        <w:jc w:val="left"/>
        <w:rPr>
          <w:rFonts w:ascii="仿宋_GB2312" w:hAnsi="微软雅黑" w:eastAsia="仿宋_GB2312" w:cs="微软雅黑"/>
          <w:color w:val="555555"/>
          <w:sz w:val="32"/>
          <w:szCs w:val="32"/>
        </w:rPr>
      </w:pPr>
      <w:r>
        <w:rPr>
          <w:rFonts w:hint="eastAsia" w:ascii="仿宋_GB2312" w:hAnsi="微软雅黑" w:eastAsia="仿宋_GB2312" w:cs="微软雅黑"/>
          <w:color w:val="000000"/>
          <w:kern w:val="0"/>
          <w:sz w:val="32"/>
          <w:szCs w:val="32"/>
        </w:rPr>
        <w:t>学院地址：浙江省温州市瓯海区瓯海大道2555号(邮编325016)</w:t>
      </w:r>
    </w:p>
    <w:p>
      <w:pPr>
        <w:widowControl/>
        <w:adjustRightInd w:val="0"/>
        <w:snapToGrid w:val="0"/>
        <w:spacing w:line="600" w:lineRule="atLeast"/>
        <w:ind w:firstLine="640" w:firstLineChars="200"/>
        <w:jc w:val="left"/>
        <w:rPr>
          <w:rFonts w:ascii="仿宋_GB2312" w:hAnsi="微软雅黑" w:eastAsia="仿宋_GB2312" w:cs="微软雅黑"/>
          <w:color w:val="000000"/>
          <w:kern w:val="0"/>
          <w:sz w:val="32"/>
          <w:szCs w:val="32"/>
        </w:rPr>
      </w:pPr>
      <w:r>
        <w:rPr>
          <w:rFonts w:hint="eastAsia" w:ascii="仿宋_GB2312" w:hAnsi="微软雅黑" w:eastAsia="仿宋_GB2312" w:cs="微软雅黑"/>
          <w:color w:val="000000"/>
          <w:kern w:val="0"/>
          <w:sz w:val="32"/>
          <w:szCs w:val="32"/>
        </w:rPr>
        <w:t>招生电话：0577-85108000</w:t>
      </w:r>
      <w:r>
        <w:rPr>
          <w:rFonts w:hint="eastAsia" w:ascii="微软雅黑" w:hAnsi="微软雅黑" w:eastAsia="仿宋_GB2312" w:cs="微软雅黑"/>
          <w:color w:val="000000"/>
          <w:kern w:val="0"/>
          <w:sz w:val="32"/>
          <w:szCs w:val="32"/>
        </w:rPr>
        <w:t> </w:t>
      </w:r>
      <w:r>
        <w:rPr>
          <w:rFonts w:hint="eastAsia" w:ascii="仿宋_GB2312" w:hAnsi="微软雅黑" w:eastAsia="仿宋_GB2312" w:cs="微软雅黑"/>
          <w:color w:val="000000"/>
          <w:kern w:val="0"/>
          <w:sz w:val="32"/>
          <w:szCs w:val="32"/>
        </w:rPr>
        <w:t xml:space="preserve"> </w:t>
      </w:r>
    </w:p>
    <w:p>
      <w:pPr>
        <w:widowControl/>
        <w:adjustRightInd w:val="0"/>
        <w:snapToGrid w:val="0"/>
        <w:spacing w:line="600" w:lineRule="atLeast"/>
        <w:ind w:firstLine="640" w:firstLineChars="200"/>
        <w:jc w:val="left"/>
        <w:rPr>
          <w:rFonts w:ascii="仿宋_GB2312" w:hAnsi="微软雅黑" w:eastAsia="仿宋_GB2312" w:cs="微软雅黑"/>
          <w:color w:val="000000"/>
          <w:kern w:val="0"/>
          <w:sz w:val="32"/>
          <w:szCs w:val="32"/>
        </w:rPr>
      </w:pPr>
      <w:r>
        <w:rPr>
          <w:rFonts w:hint="eastAsia" w:ascii="仿宋_GB2312" w:hAnsi="微软雅黑" w:eastAsia="仿宋_GB2312" w:cs="微软雅黑"/>
          <w:color w:val="000000"/>
          <w:kern w:val="0"/>
          <w:sz w:val="32"/>
          <w:szCs w:val="32"/>
        </w:rPr>
        <w:t>学院网址：</w:t>
      </w:r>
      <w:r>
        <w:fldChar w:fldCharType="begin"/>
      </w:r>
      <w:r>
        <w:instrText xml:space="preserve"> HYPERLINK "http://www.zjist.cn" </w:instrText>
      </w:r>
      <w:r>
        <w:fldChar w:fldCharType="separate"/>
      </w:r>
      <w:r>
        <w:rPr>
          <w:rStyle w:val="11"/>
          <w:rFonts w:hint="eastAsia" w:ascii="仿宋_GB2312" w:hAnsi="微软雅黑" w:eastAsia="仿宋_GB2312" w:cs="微软雅黑"/>
          <w:color w:val="000000"/>
          <w:kern w:val="0"/>
          <w:sz w:val="32"/>
          <w:szCs w:val="32"/>
        </w:rPr>
        <w:t>http://www.zjist.cn</w:t>
      </w:r>
      <w:r>
        <w:rPr>
          <w:rStyle w:val="11"/>
          <w:rFonts w:hint="eastAsia" w:ascii="仿宋_GB2312" w:hAnsi="微软雅黑" w:eastAsia="仿宋_GB2312" w:cs="微软雅黑"/>
          <w:color w:val="000000"/>
          <w:kern w:val="0"/>
          <w:sz w:val="32"/>
          <w:szCs w:val="32"/>
        </w:rPr>
        <w:fldChar w:fldCharType="end"/>
      </w:r>
      <w:r>
        <w:rPr>
          <w:rFonts w:hint="eastAsia" w:ascii="仿宋_GB2312" w:hAnsi="微软雅黑" w:eastAsia="仿宋_GB2312" w:cs="微软雅黑"/>
          <w:color w:val="000000"/>
          <w:kern w:val="0"/>
          <w:sz w:val="32"/>
          <w:szCs w:val="32"/>
        </w:rPr>
        <w:t xml:space="preserve">   </w:t>
      </w:r>
    </w:p>
    <w:p>
      <w:pPr>
        <w:widowControl/>
        <w:adjustRightInd w:val="0"/>
        <w:snapToGrid w:val="0"/>
        <w:spacing w:line="600" w:lineRule="atLeast"/>
        <w:ind w:firstLine="640" w:firstLineChars="200"/>
        <w:jc w:val="left"/>
        <w:rPr>
          <w:rFonts w:ascii="仿宋_GB2312" w:hAnsi="微软雅黑" w:eastAsia="仿宋_GB2312" w:cs="微软雅黑"/>
          <w:color w:val="000000"/>
          <w:kern w:val="0"/>
          <w:sz w:val="32"/>
          <w:szCs w:val="32"/>
        </w:rPr>
      </w:pPr>
      <w:r>
        <w:rPr>
          <w:rFonts w:hint="eastAsia" w:ascii="仿宋_GB2312" w:hAnsi="微软雅黑" w:eastAsia="仿宋_GB2312" w:cs="微软雅黑"/>
          <w:color w:val="000000"/>
          <w:kern w:val="0"/>
          <w:sz w:val="32"/>
          <w:szCs w:val="32"/>
        </w:rPr>
        <w:t>招生网址：http://zs.zjist.cn</w:t>
      </w:r>
    </w:p>
    <w:sectPr>
      <w:footerReference r:id="rId3" w:type="default"/>
      <w:pgSz w:w="11906" w:h="16838"/>
      <w:pgMar w:top="1701" w:right="1418" w:bottom="1588"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60318099"/>
      <w:docPartObj>
        <w:docPartGallery w:val="autotext"/>
      </w:docPartObj>
    </w:sdtPr>
    <w:sdtEndPr>
      <w:rPr>
        <w:rFonts w:asciiTheme="minorEastAsia" w:hAnsiTheme="minorEastAsia"/>
        <w:sz w:val="28"/>
        <w:szCs w:val="28"/>
      </w:rPr>
    </w:sdtEndPr>
    <w:sdtContent>
      <w:p>
        <w:pPr>
          <w:pStyle w:val="3"/>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6CF82"/>
    <w:multiLevelType w:val="singleLevel"/>
    <w:tmpl w:val="0F86CF82"/>
    <w:lvl w:ilvl="0" w:tentative="0">
      <w:start w:val="8"/>
      <w:numFmt w:val="chineseCounting"/>
      <w:suff w:val="space"/>
      <w:lvlText w:val="第%1条"/>
      <w:lvlJc w:val="left"/>
      <w:pPr>
        <w:ind w:left="60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17F3422"/>
    <w:rsid w:val="00074C39"/>
    <w:rsid w:val="001073F4"/>
    <w:rsid w:val="002D59B9"/>
    <w:rsid w:val="003A4BBA"/>
    <w:rsid w:val="003B53A6"/>
    <w:rsid w:val="005566ED"/>
    <w:rsid w:val="009A6046"/>
    <w:rsid w:val="00CE5365"/>
    <w:rsid w:val="00D54F9D"/>
    <w:rsid w:val="015427B5"/>
    <w:rsid w:val="122F20D1"/>
    <w:rsid w:val="16F83BB9"/>
    <w:rsid w:val="317F3422"/>
    <w:rsid w:val="32E87884"/>
    <w:rsid w:val="3D7E497B"/>
    <w:rsid w:val="3FFC1BC5"/>
    <w:rsid w:val="43AB11FD"/>
    <w:rsid w:val="456120A0"/>
    <w:rsid w:val="4A7871EF"/>
    <w:rsid w:val="50F41E48"/>
    <w:rsid w:val="6D0C1B5C"/>
    <w:rsid w:val="73697F79"/>
    <w:rsid w:val="78407823"/>
    <w:rsid w:val="79256C5C"/>
    <w:rsid w:val="7B9D2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pPr>
      <w:ind w:left="500"/>
    </w:pPr>
    <w:rPr>
      <w:rFonts w:ascii="仿宋" w:hAnsi="仿宋" w:eastAsia="仿宋" w:cs="仿宋"/>
      <w:sz w:val="28"/>
      <w:szCs w:val="28"/>
      <w:lang w:val="zh-CN" w:bidi="zh-CN"/>
    </w:rPr>
  </w:style>
  <w:style w:type="paragraph" w:styleId="3">
    <w:name w:val="footer"/>
    <w:basedOn w:val="1"/>
    <w:link w:val="16"/>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FollowedHyperlink"/>
    <w:basedOn w:val="7"/>
    <w:qFormat/>
    <w:uiPriority w:val="0"/>
    <w:rPr>
      <w:color w:val="555555"/>
      <w:u w:val="none"/>
    </w:rPr>
  </w:style>
  <w:style w:type="character" w:styleId="10">
    <w:name w:val="Emphasis"/>
    <w:basedOn w:val="7"/>
    <w:qFormat/>
    <w:uiPriority w:val="0"/>
  </w:style>
  <w:style w:type="character" w:styleId="11">
    <w:name w:val="Hyperlink"/>
    <w:basedOn w:val="7"/>
    <w:qFormat/>
    <w:uiPriority w:val="0"/>
    <w:rPr>
      <w:color w:val="555555"/>
      <w:u w:val="none"/>
    </w:rPr>
  </w:style>
  <w:style w:type="character" w:styleId="12">
    <w:name w:val="HTML Code"/>
    <w:basedOn w:val="7"/>
    <w:qFormat/>
    <w:uiPriority w:val="0"/>
    <w:rPr>
      <w:rFonts w:ascii="Courier New" w:hAnsi="Courier New"/>
      <w:sz w:val="20"/>
    </w:rPr>
  </w:style>
  <w:style w:type="character" w:styleId="13">
    <w:name w:val="HTML Cite"/>
    <w:basedOn w:val="7"/>
    <w:qFormat/>
    <w:uiPriority w:val="0"/>
  </w:style>
  <w:style w:type="paragraph" w:styleId="14">
    <w:name w:val="List Paragraph"/>
    <w:basedOn w:val="1"/>
    <w:qFormat/>
    <w:uiPriority w:val="1"/>
    <w:pPr>
      <w:spacing w:before="186"/>
      <w:ind w:left="500" w:right="496" w:firstLine="559"/>
    </w:pPr>
    <w:rPr>
      <w:rFonts w:ascii="仿宋" w:hAnsi="仿宋" w:eastAsia="仿宋" w:cs="仿宋"/>
      <w:lang w:val="zh-CN" w:bidi="zh-CN"/>
    </w:rPr>
  </w:style>
  <w:style w:type="paragraph" w:customStyle="1" w:styleId="15">
    <w:name w:val="Table Paragraph"/>
    <w:basedOn w:val="1"/>
    <w:qFormat/>
    <w:uiPriority w:val="1"/>
    <w:pPr>
      <w:spacing w:before="124"/>
      <w:jc w:val="center"/>
    </w:pPr>
    <w:rPr>
      <w:rFonts w:ascii="仿宋" w:hAnsi="仿宋" w:eastAsia="仿宋" w:cs="仿宋"/>
      <w:lang w:val="zh-CN" w:bidi="zh-CN"/>
    </w:rPr>
  </w:style>
  <w:style w:type="character" w:customStyle="1" w:styleId="16">
    <w:name w:val="页脚 Char"/>
    <w:basedOn w:val="7"/>
    <w:link w:val="3"/>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381</Words>
  <Characters>2173</Characters>
  <Lines>18</Lines>
  <Paragraphs>5</Paragraphs>
  <TotalTime>11</TotalTime>
  <ScaleCrop>false</ScaleCrop>
  <LinksUpToDate>false</LinksUpToDate>
  <CharactersWithSpaces>2549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2019-07-01T01:44:00Z</dcterms:created>
  <dc:creator>张玲玲</dc:creator>
  <cp:lastModifiedBy>null1399800587</cp:lastModifiedBy>
  <cp:lastPrinted>2019-07-01T01:40:00Z</cp:lastPrinted>
  <dcterms:modified xsi:type="dcterms:W3CDTF">2019-07-04T10:39:23Z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