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31" w:rsidRDefault="00B96231" w:rsidP="00B96231">
      <w:pPr>
        <w:spacing w:line="400" w:lineRule="exact"/>
        <w:jc w:val="center"/>
        <w:rPr>
          <w:rFonts w:ascii="方正小标宋简体" w:eastAsia="方正小标宋简体" w:hAnsi="宋体-18030" w:cs="宋体-18030"/>
          <w:bCs/>
          <w:sz w:val="36"/>
          <w:szCs w:val="36"/>
        </w:rPr>
      </w:pPr>
      <w:r>
        <w:rPr>
          <w:rFonts w:ascii="方正小标宋简体" w:eastAsia="方正小标宋简体" w:hAnsi="宋体-18030" w:cs="宋体-18030" w:hint="eastAsia"/>
          <w:bCs/>
          <w:sz w:val="36"/>
          <w:szCs w:val="36"/>
        </w:rPr>
        <w:t>医学类专业考生特别提醒</w:t>
      </w:r>
    </w:p>
    <w:p w:rsidR="00B96231" w:rsidRDefault="00B96231" w:rsidP="00B96231">
      <w:pPr>
        <w:spacing w:line="400" w:lineRule="exact"/>
        <w:ind w:firstLineChars="200" w:firstLine="482"/>
        <w:jc w:val="center"/>
        <w:rPr>
          <w:rFonts w:ascii="方正书宋简体" w:eastAsia="方正书宋简体" w:hAnsi="方正大标宋简体"/>
          <w:b/>
          <w:bCs/>
          <w:sz w:val="24"/>
        </w:rPr>
      </w:pPr>
    </w:p>
    <w:p w:rsidR="00B96231" w:rsidRDefault="00B96231" w:rsidP="00B96231">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t>一、报考条件</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报考临床医学、口腔医学、预防医学等医学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（2）报考护理学专业的人员应当取得省级卫生行政部门颁发的执业护士证书。</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（3）报考医学门类其他专业的应为从事卫生、医药行业工作的在职专业技术人员。报考药学、中药学专业的应为该行业从业人员。</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（4）考生报考专业原则上应与本人所从事的专业对口。</w:t>
      </w:r>
    </w:p>
    <w:p w:rsidR="00B96231" w:rsidRDefault="00B96231" w:rsidP="00B96231">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t>二、资格审核</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1.根据报考条件须到所在地报名点现场出具相应的执业资格证书、学历证书。</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2.考生为应届毕业生且已参加了医学类执业资格证书考试，须到所在地报名点现场出具在读校学籍证明和执业资格证书考试成绩单。</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3.持非报名点所在设区市身份证的考生还需提供在本地户口簿或居住证。</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4.若未能通过资格审核,本人坚持报考医学类专业，须在报名点现场</w:t>
      </w:r>
      <w:proofErr w:type="gramStart"/>
      <w:r>
        <w:rPr>
          <w:rFonts w:hAnsi="宋体" w:cs="宋体" w:hint="eastAsia"/>
          <w:kern w:val="0"/>
          <w:sz w:val="24"/>
          <w:szCs w:val="24"/>
        </w:rPr>
        <w:t>签定</w:t>
      </w:r>
      <w:proofErr w:type="gramEnd"/>
      <w:r>
        <w:rPr>
          <w:rFonts w:hAnsi="宋体" w:cs="宋体" w:hint="eastAsia"/>
          <w:kern w:val="0"/>
          <w:sz w:val="24"/>
          <w:szCs w:val="24"/>
        </w:rPr>
        <w:t>本人亲笔书写的《2019年江苏省成人高校医学类专业考生诚信承诺书》。被高校录取入学报到时还须出具二证（相应医学类专业学历证、相应医学类执业资格证），由录取学校再次进行资格审核。不符合规定者，将取消入学资格。</w:t>
      </w:r>
    </w:p>
    <w:p w:rsidR="00B96231" w:rsidRDefault="00B96231" w:rsidP="00B96231">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t>三、特别提醒</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对于不具备报考条件且要求报考医学类专业的考生，毕业时获得的</w:t>
      </w:r>
      <w:hyperlink r:id="rId5" w:tgtFrame="_blank" w:tooltip="成人高等教育" w:history="1">
        <w:r>
          <w:rPr>
            <w:rFonts w:hAnsi="宋体" w:cs="宋体" w:hint="eastAsia"/>
            <w:kern w:val="0"/>
            <w:sz w:val="24"/>
            <w:szCs w:val="24"/>
          </w:rPr>
          <w:t>成人高等教育</w:t>
        </w:r>
      </w:hyperlink>
      <w:r>
        <w:rPr>
          <w:rFonts w:hAnsi="宋体" w:cs="宋体" w:hint="eastAsia"/>
          <w:kern w:val="0"/>
          <w:sz w:val="24"/>
          <w:szCs w:val="24"/>
        </w:rPr>
        <w:t>医学类学历文凭将不能作为参加执业医师、执业护士等考试的依据，请慎重填报志愿。</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1.《教育部、卫生部关于举办高等医学教育的若干意见》（</w:t>
      </w:r>
      <w:proofErr w:type="gramStart"/>
      <w:r>
        <w:rPr>
          <w:rFonts w:hAnsi="宋体" w:cs="宋体" w:hint="eastAsia"/>
          <w:kern w:val="0"/>
          <w:sz w:val="24"/>
          <w:szCs w:val="24"/>
        </w:rPr>
        <w:t>教高〔2002〕</w:t>
      </w:r>
      <w:proofErr w:type="gramEnd"/>
      <w:r>
        <w:rPr>
          <w:rFonts w:hAnsi="宋体" w:cs="宋体" w:hint="eastAsia"/>
          <w:kern w:val="0"/>
          <w:sz w:val="24"/>
          <w:szCs w:val="24"/>
        </w:rPr>
        <w:t>10号）中规定“成人高等教育举办的医学类专业、相关医学类专业、药学类专业的学历教育，自学考试和各类高等学校远程教育举办的相关医学类专业、药学类专业的学历教育，只能招收已取得卫生类执业资格的人员，停止招收非在职人员。”</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2.国家卫生计生委、教育部国家中医药管理局关于印发《医师资格考试报名资格规定（2014版）》的通知（国卫</w:t>
      </w:r>
      <w:proofErr w:type="gramStart"/>
      <w:r>
        <w:rPr>
          <w:rFonts w:hAnsi="宋体" w:cs="宋体" w:hint="eastAsia"/>
          <w:kern w:val="0"/>
          <w:sz w:val="24"/>
          <w:szCs w:val="24"/>
        </w:rPr>
        <w:t>医</w:t>
      </w:r>
      <w:proofErr w:type="gramEnd"/>
      <w:r>
        <w:rPr>
          <w:rFonts w:hAnsi="宋体" w:cs="宋体" w:hint="eastAsia"/>
          <w:kern w:val="0"/>
          <w:sz w:val="24"/>
          <w:szCs w:val="24"/>
        </w:rPr>
        <w:t>发﹝2014﹞11号），对成人教育学历的明确规定：“2002年10月31日以前入学的成人高等教育、自学考试、各类高等学校远程教育的医学类专业毕业生，该学历作为报考相应类别的医师资格的学历依据。2002年11月1日以后入学的上述毕业生，如其入学前已通过医师资格考试取得执业助理医师资格，且所学专业与取得医师资格类别一致的，可以以成人教育学历报考执业医师资格。除上述情形外，2002年11月1日以后入学的成人高等教育、自学考试、各类高等学校远程教育的医学类专业毕业生，其成人高等教育学历不作为报考医师资格的学历依据。”</w:t>
      </w:r>
    </w:p>
    <w:p w:rsidR="00B96231" w:rsidRDefault="00B96231" w:rsidP="00B96231">
      <w:pPr>
        <w:pStyle w:val="a3"/>
        <w:spacing w:line="360" w:lineRule="exact"/>
        <w:ind w:firstLineChars="200" w:firstLine="480"/>
        <w:outlineLvl w:val="0"/>
        <w:rPr>
          <w:rFonts w:ascii="黑体" w:eastAsia="黑体" w:hAnsi="黑体" w:cs="宋体"/>
          <w:bCs/>
          <w:kern w:val="0"/>
          <w:sz w:val="24"/>
          <w:szCs w:val="24"/>
        </w:rPr>
      </w:pPr>
      <w:r>
        <w:rPr>
          <w:rFonts w:ascii="黑体" w:eastAsia="黑体" w:hAnsi="黑体" w:cs="宋体" w:hint="eastAsia"/>
          <w:bCs/>
          <w:kern w:val="0"/>
          <w:sz w:val="24"/>
          <w:szCs w:val="24"/>
        </w:rPr>
        <w:lastRenderedPageBreak/>
        <w:t>四、附表</w:t>
      </w:r>
    </w:p>
    <w:p w:rsidR="00B96231" w:rsidRDefault="00B96231" w:rsidP="00B96231">
      <w:pPr>
        <w:pStyle w:val="a3"/>
        <w:spacing w:line="360" w:lineRule="exact"/>
        <w:ind w:firstLineChars="200" w:firstLine="480"/>
        <w:outlineLvl w:val="0"/>
        <w:rPr>
          <w:rFonts w:hAnsi="宋体" w:cs="宋体"/>
          <w:kern w:val="0"/>
          <w:sz w:val="24"/>
          <w:szCs w:val="24"/>
        </w:rPr>
      </w:pPr>
      <w:r>
        <w:rPr>
          <w:rFonts w:hAnsi="宋体" w:cs="宋体" w:hint="eastAsia"/>
          <w:kern w:val="0"/>
          <w:sz w:val="24"/>
          <w:szCs w:val="24"/>
        </w:rPr>
        <w:t>医学、相关医学、药学招生专业名称及分类</w:t>
      </w:r>
    </w:p>
    <w:p w:rsidR="00B96231" w:rsidRDefault="00B96231" w:rsidP="00B96231">
      <w:pPr>
        <w:pStyle w:val="a3"/>
        <w:spacing w:line="360" w:lineRule="exact"/>
        <w:ind w:firstLineChars="200" w:firstLine="480"/>
        <w:outlineLvl w:val="0"/>
        <w:rPr>
          <w:rFonts w:hAnsi="宋体" w:cs="宋体"/>
          <w:kern w:val="0"/>
          <w:sz w:val="24"/>
          <w:szCs w:val="24"/>
        </w:rPr>
      </w:pPr>
    </w:p>
    <w:tbl>
      <w:tblPr>
        <w:tblW w:w="9057" w:type="dxa"/>
        <w:jc w:val="center"/>
        <w:tblLayout w:type="fixed"/>
        <w:tblCellMar>
          <w:left w:w="113" w:type="dxa"/>
          <w:right w:w="113" w:type="dxa"/>
        </w:tblCellMar>
        <w:tblLook w:val="04A0" w:firstRow="1" w:lastRow="0" w:firstColumn="1" w:lastColumn="0" w:noHBand="0" w:noVBand="1"/>
      </w:tblPr>
      <w:tblGrid>
        <w:gridCol w:w="1127"/>
        <w:gridCol w:w="1811"/>
        <w:gridCol w:w="2497"/>
        <w:gridCol w:w="1607"/>
        <w:gridCol w:w="2015"/>
      </w:tblGrid>
      <w:tr w:rsidR="00B96231" w:rsidTr="001E6EF0">
        <w:trPr>
          <w:trHeight w:val="468"/>
          <w:jc w:val="center"/>
        </w:trPr>
        <w:tc>
          <w:tcPr>
            <w:tcW w:w="112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类别</w:t>
            </w:r>
          </w:p>
        </w:tc>
        <w:tc>
          <w:tcPr>
            <w:tcW w:w="430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本科</w:t>
            </w:r>
          </w:p>
        </w:tc>
        <w:tc>
          <w:tcPr>
            <w:tcW w:w="3622"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专科</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center"/>
              <w:textAlignment w:val="auto"/>
              <w:rPr>
                <w:rFonts w:ascii="黑体" w:eastAsia="黑体" w:hAnsi="黑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专业代码</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专业名称</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专业代码</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黑体" w:eastAsia="黑体" w:hAnsi="黑体"/>
              </w:rPr>
            </w:pPr>
            <w:r>
              <w:rPr>
                <w:rFonts w:ascii="黑体" w:eastAsia="黑体" w:hAnsi="黑体" w:cs="ATC-6b636587" w:hint="eastAsia"/>
              </w:rPr>
              <w:t>专业名称</w:t>
            </w:r>
          </w:p>
        </w:tc>
      </w:tr>
      <w:tr w:rsidR="00B96231" w:rsidTr="001E6EF0">
        <w:trPr>
          <w:trHeight w:val="468"/>
          <w:jc w:val="center"/>
        </w:trPr>
        <w:tc>
          <w:tcPr>
            <w:tcW w:w="112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宋体" w:eastAsia="宋体" w:hAnsi="宋体" w:cs="ATC-6b636587"/>
              </w:rPr>
            </w:pPr>
            <w:r>
              <w:rPr>
                <w:rFonts w:ascii="宋体" w:eastAsia="宋体" w:hAnsi="宋体" w:cs="ATC-6b636587" w:hint="eastAsia"/>
              </w:rPr>
              <w:t>医学类</w:t>
            </w:r>
          </w:p>
          <w:p w:rsidR="00B96231" w:rsidRDefault="00B96231" w:rsidP="001E6EF0">
            <w:pPr>
              <w:pStyle w:val="a5"/>
              <w:spacing w:line="360" w:lineRule="exact"/>
              <w:jc w:val="center"/>
              <w:rPr>
                <w:rFonts w:ascii="宋体" w:eastAsia="宋体" w:hAnsi="宋体" w:cs="ATC-6b636587"/>
              </w:rPr>
            </w:pPr>
            <w:r>
              <w:rPr>
                <w:rFonts w:ascii="宋体" w:eastAsia="宋体" w:hAnsi="宋体" w:cs="ATC-6b636587" w:hint="eastAsia"/>
              </w:rPr>
              <w:t>（本科</w:t>
            </w:r>
          </w:p>
          <w:p w:rsidR="00B96231" w:rsidRDefault="00B96231" w:rsidP="001E6EF0">
            <w:pPr>
              <w:pStyle w:val="a5"/>
              <w:spacing w:line="360" w:lineRule="exact"/>
              <w:jc w:val="center"/>
              <w:rPr>
                <w:rFonts w:ascii="宋体" w:eastAsia="宋体" w:hAnsi="宋体"/>
              </w:rPr>
            </w:pPr>
            <w:r>
              <w:rPr>
                <w:rFonts w:ascii="宋体" w:eastAsia="宋体" w:hAnsi="宋体" w:cs="ATC-6b636587" w:hint="eastAsia"/>
              </w:rPr>
              <w:t>为国控）</w:t>
            </w: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100201K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临床医学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620101K</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临床医学</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100301K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口腔医学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100401K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预防医学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100501K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中医学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100502K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针灸推拿学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620108K</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针灸推拿</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100601K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中西医临床医学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100203TK</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医学影像学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r>
      <w:tr w:rsidR="00B96231" w:rsidTr="001E6EF0">
        <w:trPr>
          <w:trHeight w:val="468"/>
          <w:jc w:val="center"/>
        </w:trPr>
        <w:tc>
          <w:tcPr>
            <w:tcW w:w="112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宋体" w:eastAsia="宋体" w:hAnsi="宋体" w:cs="ATC-6b636587"/>
              </w:rPr>
            </w:pPr>
            <w:r>
              <w:rPr>
                <w:rFonts w:ascii="宋体" w:eastAsia="宋体" w:hAnsi="宋体" w:cs="ATC-6b636587"/>
              </w:rPr>
              <w:t xml:space="preserve"> </w:t>
            </w:r>
          </w:p>
          <w:p w:rsidR="00B96231" w:rsidRDefault="00B96231" w:rsidP="001E6EF0">
            <w:pPr>
              <w:pStyle w:val="a5"/>
              <w:spacing w:line="360" w:lineRule="exact"/>
              <w:jc w:val="center"/>
              <w:rPr>
                <w:rFonts w:ascii="宋体" w:eastAsia="宋体" w:hAnsi="宋体" w:cs="ATC-6b636587"/>
              </w:rPr>
            </w:pPr>
            <w:r>
              <w:rPr>
                <w:rFonts w:ascii="宋体" w:eastAsia="宋体" w:hAnsi="宋体" w:cs="ATC-6b636587" w:hint="eastAsia"/>
              </w:rPr>
              <w:t>相关</w:t>
            </w:r>
          </w:p>
          <w:p w:rsidR="00B96231" w:rsidRDefault="00B96231" w:rsidP="001E6EF0">
            <w:pPr>
              <w:pStyle w:val="a5"/>
              <w:spacing w:line="360" w:lineRule="exact"/>
              <w:jc w:val="center"/>
              <w:rPr>
                <w:rFonts w:ascii="宋体" w:eastAsia="宋体" w:hAnsi="宋体"/>
              </w:rPr>
            </w:pPr>
            <w:r>
              <w:rPr>
                <w:rFonts w:ascii="宋体" w:eastAsia="宋体" w:hAnsi="宋体" w:cs="ATC-6b636587" w:hint="eastAsia"/>
              </w:rPr>
              <w:t>医学类</w:t>
            </w: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101101</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护理学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620201</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护理</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101001</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医学检验技术</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620401</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医学检验技术</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101003</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医学影像技术</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620403</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医学影像技术</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101004</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眼视光学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620407</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眼视光技术</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101005</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康复治疗学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620501</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康复治疗技术</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4"/>
              <w:spacing w:line="360" w:lineRule="exact"/>
              <w:jc w:val="left"/>
              <w:textAlignment w:val="auto"/>
              <w:rPr>
                <w:rFonts w:ascii="宋体" w:eastAsia="宋体" w:hAnsi="宋体"/>
                <w:color w:val="auto"/>
                <w:lang w:val="en-US"/>
              </w:rPr>
            </w:pP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620404</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医疗美容技术</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100402</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食品卫生与营养学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620802</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医学营养</w:t>
            </w:r>
          </w:p>
        </w:tc>
      </w:tr>
      <w:tr w:rsidR="00B96231" w:rsidTr="001E6EF0">
        <w:trPr>
          <w:trHeight w:val="468"/>
          <w:jc w:val="center"/>
        </w:trPr>
        <w:tc>
          <w:tcPr>
            <w:tcW w:w="112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jc w:val="center"/>
              <w:rPr>
                <w:rFonts w:ascii="宋体" w:eastAsia="宋体" w:hAnsi="宋体"/>
              </w:rPr>
            </w:pPr>
            <w:r>
              <w:rPr>
                <w:rFonts w:ascii="宋体" w:eastAsia="宋体" w:hAnsi="宋体" w:cs="ATC-6b636587" w:hint="eastAsia"/>
              </w:rPr>
              <w:t>药学类</w:t>
            </w: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100701</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药学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620301</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药学</w:t>
            </w:r>
          </w:p>
        </w:tc>
      </w:tr>
      <w:tr w:rsidR="00B96231" w:rsidTr="001E6EF0">
        <w:trPr>
          <w:trHeight w:val="468"/>
          <w:jc w:val="center"/>
        </w:trPr>
        <w:tc>
          <w:tcPr>
            <w:tcW w:w="1127" w:type="dxa"/>
            <w:vMerge/>
            <w:tcBorders>
              <w:top w:val="single" w:sz="4" w:space="0" w:color="000000"/>
              <w:left w:val="single" w:sz="4" w:space="0" w:color="000000"/>
              <w:bottom w:val="single" w:sz="4" w:space="0" w:color="000000"/>
              <w:right w:val="single" w:sz="4" w:space="0" w:color="000000"/>
            </w:tcBorders>
          </w:tcPr>
          <w:p w:rsidR="00B96231" w:rsidRDefault="00B96231" w:rsidP="001E6EF0">
            <w:pPr>
              <w:pStyle w:val="a4"/>
              <w:spacing w:line="360" w:lineRule="exact"/>
              <w:jc w:val="left"/>
              <w:textAlignment w:val="auto"/>
              <w:rPr>
                <w:rFonts w:ascii="宋体" w:eastAsia="宋体" w:hAnsi="宋体"/>
                <w:color w:val="auto"/>
                <w:lang w:val="en-US"/>
              </w:rPr>
            </w:pPr>
          </w:p>
        </w:tc>
        <w:tc>
          <w:tcPr>
            <w:tcW w:w="181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100801</w:t>
            </w:r>
          </w:p>
        </w:tc>
        <w:tc>
          <w:tcPr>
            <w:tcW w:w="24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中药学</w:t>
            </w:r>
          </w:p>
        </w:tc>
        <w:tc>
          <w:tcPr>
            <w:tcW w:w="160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rPr>
              <w:t>620302</w:t>
            </w:r>
          </w:p>
        </w:tc>
        <w:tc>
          <w:tcPr>
            <w:tcW w:w="201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B96231" w:rsidRDefault="00B96231" w:rsidP="001E6EF0">
            <w:pPr>
              <w:pStyle w:val="a5"/>
              <w:spacing w:line="360" w:lineRule="exact"/>
              <w:rPr>
                <w:rFonts w:ascii="宋体" w:eastAsia="宋体" w:hAnsi="宋体"/>
              </w:rPr>
            </w:pPr>
            <w:r>
              <w:rPr>
                <w:rFonts w:ascii="宋体" w:eastAsia="宋体" w:hAnsi="宋体" w:cs="ATC-6b636587" w:hint="eastAsia"/>
              </w:rPr>
              <w:t>中药学</w:t>
            </w:r>
          </w:p>
        </w:tc>
      </w:tr>
    </w:tbl>
    <w:p w:rsidR="00B96231" w:rsidRDefault="00B96231" w:rsidP="00B96231">
      <w:pPr>
        <w:pStyle w:val="a3"/>
        <w:spacing w:line="360" w:lineRule="exact"/>
        <w:ind w:firstLineChars="200" w:firstLine="480"/>
        <w:outlineLvl w:val="0"/>
        <w:rPr>
          <w:rFonts w:hAnsi="宋体" w:cs="宋体"/>
          <w:kern w:val="0"/>
          <w:sz w:val="24"/>
          <w:szCs w:val="24"/>
        </w:rPr>
      </w:pPr>
    </w:p>
    <w:p w:rsidR="00B96231" w:rsidRDefault="00B96231" w:rsidP="00B96231">
      <w:pPr>
        <w:pStyle w:val="a3"/>
        <w:spacing w:line="360" w:lineRule="exact"/>
        <w:ind w:firstLineChars="200" w:firstLine="480"/>
        <w:outlineLvl w:val="0"/>
        <w:rPr>
          <w:rFonts w:hAnsi="宋体" w:cs="宋体"/>
          <w:kern w:val="0"/>
          <w:sz w:val="24"/>
          <w:szCs w:val="24"/>
        </w:rPr>
      </w:pPr>
    </w:p>
    <w:p w:rsidR="00B96231" w:rsidRDefault="00B96231" w:rsidP="00B96231">
      <w:pPr>
        <w:pStyle w:val="a3"/>
        <w:spacing w:line="360" w:lineRule="exact"/>
        <w:ind w:firstLineChars="200" w:firstLine="480"/>
        <w:outlineLvl w:val="0"/>
        <w:rPr>
          <w:rFonts w:hAnsi="宋体" w:cs="宋体"/>
          <w:kern w:val="0"/>
          <w:sz w:val="24"/>
          <w:szCs w:val="24"/>
        </w:rPr>
      </w:pPr>
    </w:p>
    <w:p w:rsidR="00B96231" w:rsidRDefault="00B96231" w:rsidP="00B96231">
      <w:pPr>
        <w:pStyle w:val="a3"/>
        <w:spacing w:line="360" w:lineRule="exact"/>
        <w:ind w:firstLineChars="200" w:firstLine="480"/>
        <w:outlineLvl w:val="0"/>
        <w:rPr>
          <w:rFonts w:hAnsi="宋体" w:cs="宋体"/>
          <w:kern w:val="0"/>
          <w:sz w:val="24"/>
          <w:szCs w:val="24"/>
        </w:rPr>
      </w:pPr>
    </w:p>
    <w:p w:rsidR="00B96231" w:rsidRDefault="00B96231" w:rsidP="00B96231">
      <w:pPr>
        <w:widowControl/>
        <w:spacing w:line="400" w:lineRule="exact"/>
        <w:ind w:firstLineChars="250" w:firstLine="800"/>
        <w:rPr>
          <w:rFonts w:ascii="宋体" w:hAnsi="宋体" w:cs="宋体"/>
          <w:bCs/>
          <w:color w:val="000000"/>
          <w:sz w:val="32"/>
          <w:szCs w:val="32"/>
          <w:shd w:val="clear" w:color="auto" w:fill="FFFFFF"/>
        </w:rPr>
      </w:pPr>
    </w:p>
    <w:p w:rsidR="00D62DC2" w:rsidRDefault="00D62DC2">
      <w:bookmarkStart w:id="0" w:name="_GoBack"/>
      <w:bookmarkEnd w:id="0"/>
    </w:p>
    <w:sectPr w:rsidR="00D6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TC-6b636587">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方正书宋简体">
    <w:altName w:val="宋体"/>
    <w:charset w:val="86"/>
    <w:family w:val="script"/>
    <w:pitch w:val="default"/>
    <w:sig w:usb0="00000000" w:usb1="00000000" w:usb2="00000010" w:usb3="00000000" w:csb0="00040000" w:csb1="00000000"/>
  </w:font>
  <w:font w:name="方正大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39"/>
    <w:rsid w:val="00B96231"/>
    <w:rsid w:val="00D62DC2"/>
    <w:rsid w:val="00EA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96231"/>
    <w:rPr>
      <w:rFonts w:ascii="宋体" w:hAnsi="Courier New"/>
      <w:szCs w:val="20"/>
    </w:rPr>
  </w:style>
  <w:style w:type="character" w:customStyle="1" w:styleId="Char">
    <w:name w:val="纯文本 Char"/>
    <w:basedOn w:val="a0"/>
    <w:link w:val="a3"/>
    <w:qFormat/>
    <w:rsid w:val="00B96231"/>
    <w:rPr>
      <w:rFonts w:ascii="宋体" w:eastAsia="宋体" w:hAnsi="Courier New" w:cs="Times New Roman"/>
      <w:szCs w:val="20"/>
    </w:rPr>
  </w:style>
  <w:style w:type="paragraph" w:customStyle="1" w:styleId="a4">
    <w:name w:val="[无段落样式]"/>
    <w:qFormat/>
    <w:rsid w:val="00B96231"/>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5">
    <w:name w:val="[基本段落]"/>
    <w:basedOn w:val="a4"/>
    <w:uiPriority w:val="99"/>
    <w:qFormat/>
    <w:rsid w:val="00B962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2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96231"/>
    <w:rPr>
      <w:rFonts w:ascii="宋体" w:hAnsi="Courier New"/>
      <w:szCs w:val="20"/>
    </w:rPr>
  </w:style>
  <w:style w:type="character" w:customStyle="1" w:styleId="Char">
    <w:name w:val="纯文本 Char"/>
    <w:basedOn w:val="a0"/>
    <w:link w:val="a3"/>
    <w:qFormat/>
    <w:rsid w:val="00B96231"/>
    <w:rPr>
      <w:rFonts w:ascii="宋体" w:eastAsia="宋体" w:hAnsi="Courier New" w:cs="Times New Roman"/>
      <w:szCs w:val="20"/>
    </w:rPr>
  </w:style>
  <w:style w:type="paragraph" w:customStyle="1" w:styleId="a4">
    <w:name w:val="[无段落样式]"/>
    <w:qFormat/>
    <w:rsid w:val="00B96231"/>
    <w:pPr>
      <w:widowControl w:val="0"/>
      <w:autoSpaceDE w:val="0"/>
      <w:autoSpaceDN w:val="0"/>
      <w:adjustRightInd w:val="0"/>
      <w:spacing w:line="288" w:lineRule="auto"/>
      <w:jc w:val="both"/>
      <w:textAlignment w:val="center"/>
    </w:pPr>
    <w:rPr>
      <w:rFonts w:ascii="ATC-6b636587" w:eastAsia="ATC-6b636587" w:hAnsi="Times New Roman" w:cs="Arial"/>
      <w:color w:val="000000"/>
      <w:kern w:val="0"/>
      <w:sz w:val="24"/>
      <w:szCs w:val="24"/>
      <w:lang w:val="zh-CN"/>
    </w:rPr>
  </w:style>
  <w:style w:type="paragraph" w:customStyle="1" w:styleId="a5">
    <w:name w:val="[基本段落]"/>
    <w:basedOn w:val="a4"/>
    <w:uiPriority w:val="99"/>
    <w:qFormat/>
    <w:rsid w:val="00B9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engkao365.com/webhtml/zhina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2019-09-02T02:34:00Z</dcterms:created>
  <dcterms:modified xsi:type="dcterms:W3CDTF">2019-09-02T02:35:00Z</dcterms:modified>
</cp:coreProperties>
</file>